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C42F" w14:textId="77777777" w:rsidR="00A30D91" w:rsidRDefault="00A30D9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74EF7B8" w14:textId="4337D019" w:rsidR="00A30D91" w:rsidRDefault="001E78D2">
      <w:pPr>
        <w:pBdr>
          <w:bottom w:val="single" w:sz="6" w:space="1" w:color="000000"/>
        </w:pBdr>
        <w:tabs>
          <w:tab w:val="left" w:pos="720"/>
        </w:tabs>
        <w:ind w:right="-24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noProof/>
          <w:lang w:val="pl-PL" w:eastAsia="pl-PL"/>
        </w:rPr>
        <w:drawing>
          <wp:inline distT="0" distB="0" distL="0" distR="0" wp14:anchorId="368106FB" wp14:editId="0EF593F1">
            <wp:extent cx="6578600" cy="812800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1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 w:rsidR="00E61A5D">
        <w:rPr>
          <w:rFonts w:ascii="Calibri" w:eastAsia="Calibri" w:hAnsi="Calibri" w:cs="Calibri"/>
          <w:b/>
          <w:color w:val="000000"/>
          <w:sz w:val="28"/>
          <w:szCs w:val="28"/>
        </w:rPr>
        <w:t>Seria</w:t>
      </w:r>
      <w:proofErr w:type="spellEnd"/>
      <w:r w:rsidR="00E61A5D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GAINWARD GeForce RTX 3090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Ti</w:t>
      </w:r>
      <w:proofErr w:type="spell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Phantom</w:t>
      </w:r>
    </w:p>
    <w:p w14:paraId="2B8233F9" w14:textId="19ACB288" w:rsidR="00A30D91" w:rsidRPr="00320E44" w:rsidRDefault="00320E44">
      <w:pPr>
        <w:ind w:firstLine="240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Jako </w:t>
      </w:r>
      <w:r w:rsidR="00CA1E92">
        <w:rPr>
          <w:rFonts w:asciiTheme="minorHAnsi" w:eastAsia="Calibri" w:hAnsiTheme="minorHAnsi" w:cstheme="minorHAnsi"/>
          <w:sz w:val="22"/>
          <w:szCs w:val="22"/>
          <w:lang w:val="pl-PL"/>
        </w:rPr>
        <w:t>znana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marka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rynku kart graficznych dla entuzjastów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, </w:t>
      </w:r>
      <w:proofErr w:type="spellStart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Gainward</w:t>
      </w:r>
      <w:proofErr w:type="spellEnd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z dumą prezentuje nową serię </w:t>
      </w:r>
      <w:proofErr w:type="spellStart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GeForce</w:t>
      </w:r>
      <w:proofErr w:type="spellEnd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RTX™ 3090 Ti Phantom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  <w:r w:rsidR="001E78D2" w:rsidRPr="001E78D2">
        <w:rPr>
          <w:rFonts w:asciiTheme="minorHAnsi" w:hAnsiTheme="minorHAnsi" w:cstheme="minorHAnsi"/>
          <w:noProof/>
          <w:lang w:val="pl-PL" w:eastAsia="pl-PL"/>
        </w:rPr>
        <w:drawing>
          <wp:anchor distT="0" distB="0" distL="114300" distR="114300" simplePos="0" relativeHeight="251658240" behindDoc="0" locked="0" layoutInCell="1" hidden="0" allowOverlap="1" wp14:anchorId="7E394656" wp14:editId="764C3D83">
            <wp:simplePos x="0" y="0"/>
            <wp:positionH relativeFrom="column">
              <wp:posOffset>4237355</wp:posOffset>
            </wp:positionH>
            <wp:positionV relativeFrom="paragraph">
              <wp:posOffset>88900</wp:posOffset>
            </wp:positionV>
            <wp:extent cx="2351405" cy="2618105"/>
            <wp:effectExtent l="0" t="0" r="0" b="0"/>
            <wp:wrapSquare wrapText="bothSides" distT="0" distB="0" distL="114300" distR="114300"/>
            <wp:docPr id="8" name="image6.png" descr="一張含有 文字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一張含有 文字 的圖片&#10;&#10;自動產生的描述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2618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10A11D" w14:textId="77777777" w:rsidR="00A30D91" w:rsidRPr="00320E44" w:rsidRDefault="00A30D91">
      <w:pPr>
        <w:ind w:firstLine="240"/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28925498" w14:textId="69905817" w:rsidR="00320E44" w:rsidRPr="00487F97" w:rsidRDefault="00320E44" w:rsidP="00320E44">
      <w:pPr>
        <w:ind w:firstLine="220"/>
        <w:rPr>
          <w:rFonts w:asciiTheme="minorHAnsi" w:eastAsia="Arial" w:hAnsiTheme="minorHAnsi" w:cstheme="minorHAnsi"/>
          <w:sz w:val="22"/>
          <w:szCs w:val="22"/>
          <w:lang w:val="pl-PL"/>
        </w:rPr>
      </w:pP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>Zaprojektowan</w:t>
      </w:r>
      <w:r w:rsidR="00487F97">
        <w:rPr>
          <w:rFonts w:asciiTheme="minorHAnsi" w:eastAsia="Arial" w:hAnsiTheme="minorHAnsi" w:cstheme="minorHAnsi"/>
          <w:sz w:val="22"/>
          <w:szCs w:val="22"/>
          <w:lang w:val="pl-PL"/>
        </w:rPr>
        <w:t>a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</w:t>
      </w:r>
      <w:r w:rsidR="00487F97">
        <w:rPr>
          <w:rFonts w:asciiTheme="minorHAnsi" w:eastAsia="Arial" w:hAnsiTheme="minorHAnsi" w:cstheme="minorHAnsi"/>
          <w:sz w:val="22"/>
          <w:szCs w:val="22"/>
          <w:lang w:val="pl-PL"/>
        </w:rPr>
        <w:t>z myślą o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najbardziej wymagających gracz</w:t>
      </w:r>
      <w:r w:rsidR="00487F97">
        <w:rPr>
          <w:rFonts w:asciiTheme="minorHAnsi" w:eastAsia="Arial" w:hAnsiTheme="minorHAnsi" w:cstheme="minorHAnsi"/>
          <w:sz w:val="22"/>
          <w:szCs w:val="22"/>
          <w:lang w:val="pl-PL"/>
        </w:rPr>
        <w:t>ach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>, twórc</w:t>
      </w:r>
      <w:r w:rsidR="00487F97">
        <w:rPr>
          <w:rFonts w:asciiTheme="minorHAnsi" w:eastAsia="Arial" w:hAnsiTheme="minorHAnsi" w:cstheme="minorHAnsi"/>
          <w:sz w:val="22"/>
          <w:szCs w:val="22"/>
          <w:lang w:val="pl-PL"/>
        </w:rPr>
        <w:t>ach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treści i </w:t>
      </w:r>
      <w:r w:rsidR="00487F97">
        <w:rPr>
          <w:rFonts w:asciiTheme="minorHAnsi" w:eastAsia="Arial" w:hAnsiTheme="minorHAnsi" w:cstheme="minorHAnsi"/>
          <w:sz w:val="22"/>
          <w:szCs w:val="22"/>
          <w:lang w:val="pl-PL"/>
        </w:rPr>
        <w:t>analitykach</w:t>
      </w:r>
      <w:r w:rsidR="00F3566B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przetwarzających duże ilości danych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, </w:t>
      </w:r>
      <w:proofErr w:type="spellStart"/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>GeForce</w:t>
      </w:r>
      <w:proofErr w:type="spellEnd"/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RTX 3090 Ti oferuje rekordową liczbę 10 752 rdzeni CUDA i </w:t>
      </w:r>
      <w:r w:rsidR="006F549D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może się pochwalić mocą 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>78 RT-TFLOP</w:t>
      </w:r>
      <w:r w:rsidR="003E6DA4">
        <w:rPr>
          <w:rFonts w:asciiTheme="minorHAnsi" w:eastAsia="Arial" w:hAnsiTheme="minorHAnsi" w:cstheme="minorHAnsi"/>
          <w:sz w:val="22"/>
          <w:szCs w:val="22"/>
          <w:lang w:val="pl-PL"/>
        </w:rPr>
        <w:t>S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, 40 </w:t>
      </w:r>
      <w:proofErr w:type="spellStart"/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>Shader</w:t>
      </w:r>
      <w:proofErr w:type="spellEnd"/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>-TFLOP</w:t>
      </w:r>
      <w:r w:rsidR="003E6DA4">
        <w:rPr>
          <w:rFonts w:asciiTheme="minorHAnsi" w:eastAsia="Arial" w:hAnsiTheme="minorHAnsi" w:cstheme="minorHAnsi"/>
          <w:sz w:val="22"/>
          <w:szCs w:val="22"/>
          <w:lang w:val="pl-PL"/>
        </w:rPr>
        <w:t>S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i 320 Tensor-TFLOP</w:t>
      </w:r>
      <w:r w:rsidR="003E6DA4">
        <w:rPr>
          <w:rFonts w:asciiTheme="minorHAnsi" w:eastAsia="Arial" w:hAnsiTheme="minorHAnsi" w:cstheme="minorHAnsi"/>
          <w:sz w:val="22"/>
          <w:szCs w:val="22"/>
          <w:lang w:val="pl-PL"/>
        </w:rPr>
        <w:t>S</w:t>
      </w:r>
      <w:r w:rsidRPr="00320E44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. </w:t>
      </w:r>
      <w:r w:rsidRPr="00487F97">
        <w:rPr>
          <w:rFonts w:asciiTheme="minorHAnsi" w:eastAsia="Arial" w:hAnsiTheme="minorHAnsi" w:cstheme="minorHAnsi"/>
          <w:sz w:val="22"/>
          <w:szCs w:val="22"/>
          <w:lang w:val="pl-PL"/>
        </w:rPr>
        <w:t>Jest wyposażon</w:t>
      </w:r>
      <w:r w:rsidR="0028361A">
        <w:rPr>
          <w:rFonts w:asciiTheme="minorHAnsi" w:eastAsia="Arial" w:hAnsiTheme="minorHAnsi" w:cstheme="minorHAnsi"/>
          <w:sz w:val="22"/>
          <w:szCs w:val="22"/>
          <w:lang w:val="pl-PL"/>
        </w:rPr>
        <w:t>a</w:t>
      </w:r>
      <w:r w:rsidRPr="00487F97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 w 24 GB najszybszej (21 </w:t>
      </w:r>
      <w:proofErr w:type="spellStart"/>
      <w:r w:rsidRPr="00487F97">
        <w:rPr>
          <w:rFonts w:asciiTheme="minorHAnsi" w:eastAsia="Arial" w:hAnsiTheme="minorHAnsi" w:cstheme="minorHAnsi"/>
          <w:sz w:val="22"/>
          <w:szCs w:val="22"/>
          <w:lang w:val="pl-PL"/>
        </w:rPr>
        <w:t>Gb</w:t>
      </w:r>
      <w:proofErr w:type="spellEnd"/>
      <w:r w:rsidR="00D21585">
        <w:rPr>
          <w:rFonts w:asciiTheme="minorHAnsi" w:eastAsia="Arial" w:hAnsiTheme="minorHAnsi" w:cstheme="minorHAnsi"/>
          <w:sz w:val="22"/>
          <w:szCs w:val="22"/>
          <w:lang w:val="pl-PL"/>
        </w:rPr>
        <w:t>/</w:t>
      </w:r>
      <w:r w:rsidRPr="00487F97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s) pamięci GDDR6X, zapewniającej przepustowość </w:t>
      </w:r>
      <w:r w:rsidR="00D21585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na poziomie </w:t>
      </w:r>
      <w:r w:rsidRPr="00487F97">
        <w:rPr>
          <w:rFonts w:asciiTheme="minorHAnsi" w:eastAsia="Arial" w:hAnsiTheme="minorHAnsi" w:cstheme="minorHAnsi"/>
          <w:sz w:val="22"/>
          <w:szCs w:val="22"/>
          <w:lang w:val="pl-PL"/>
        </w:rPr>
        <w:t>1 TB/s.</w:t>
      </w:r>
    </w:p>
    <w:p w14:paraId="42019E37" w14:textId="0C8A65CD" w:rsidR="00A30D91" w:rsidRPr="00320E44" w:rsidRDefault="00A30D91">
      <w:pPr>
        <w:ind w:firstLine="240"/>
        <w:rPr>
          <w:rFonts w:asciiTheme="minorHAnsi" w:eastAsia="Arial" w:hAnsiTheme="minorHAnsi" w:cstheme="minorHAnsi"/>
          <w:sz w:val="20"/>
          <w:szCs w:val="20"/>
          <w:lang w:val="pl-PL"/>
        </w:rPr>
      </w:pPr>
    </w:p>
    <w:p w14:paraId="0381605E" w14:textId="79B28627" w:rsidR="00320E44" w:rsidRPr="00320E44" w:rsidRDefault="00320E44">
      <w:pPr>
        <w:ind w:firstLine="220"/>
        <w:rPr>
          <w:rFonts w:asciiTheme="minorHAnsi" w:eastAsia="Calibri" w:hAnsiTheme="minorHAnsi" w:cstheme="minorHAnsi"/>
          <w:sz w:val="22"/>
          <w:szCs w:val="22"/>
          <w:lang w:val="pl-PL"/>
        </w:rPr>
      </w:pP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Układ chłodzenia kart Phantom jest </w:t>
      </w:r>
      <w:r w:rsidR="00A94044">
        <w:rPr>
          <w:rFonts w:asciiTheme="minorHAnsi" w:eastAsia="Calibri" w:hAnsiTheme="minorHAnsi" w:cstheme="minorHAnsi"/>
          <w:sz w:val="22"/>
          <w:szCs w:val="22"/>
          <w:lang w:val="pl-PL"/>
        </w:rPr>
        <w:t>jednocześnie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elegancki jak i skuteczny. Dzięki zastosowaniu metalowych płyt</w:t>
      </w:r>
      <w:r w:rsidR="00A94044">
        <w:rPr>
          <w:rFonts w:asciiTheme="minorHAnsi" w:eastAsia="Calibri" w:hAnsiTheme="minorHAnsi" w:cstheme="minorHAnsi"/>
          <w:sz w:val="22"/>
          <w:szCs w:val="22"/>
          <w:lang w:val="pl-PL"/>
        </w:rPr>
        <w:t>ek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i opatentowanej technologii rurki cieplnej typu U,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układ chłodz</w:t>
      </w:r>
      <w:r w:rsidR="00A94044">
        <w:rPr>
          <w:rFonts w:asciiTheme="minorHAnsi" w:eastAsia="Calibri" w:hAnsiTheme="minorHAnsi" w:cstheme="minorHAnsi"/>
          <w:sz w:val="22"/>
          <w:szCs w:val="22"/>
          <w:lang w:val="pl-PL"/>
        </w:rPr>
        <w:t>enia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kart 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Phantom oferuje niezrównaną wydajność termiczną, a także niski poziom hałasu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nawet w mocno obciążający</w:t>
      </w:r>
      <w:r w:rsidR="00A94044">
        <w:rPr>
          <w:rFonts w:asciiTheme="minorHAnsi" w:eastAsia="Calibri" w:hAnsiTheme="minorHAnsi" w:cstheme="minorHAnsi"/>
          <w:sz w:val="22"/>
          <w:szCs w:val="22"/>
          <w:lang w:val="pl-PL"/>
        </w:rPr>
        <w:t>m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sprzęt 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środowisku g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ier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7B446649" w14:textId="77777777" w:rsidR="00A30D91" w:rsidRPr="00320E44" w:rsidRDefault="00A30D91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6A77147E" w14:textId="2B18E65C" w:rsidR="00320E44" w:rsidRPr="00320E44" w:rsidRDefault="00320E44">
      <w:pPr>
        <w:ind w:firstLine="220"/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Karta </w:t>
      </w:r>
      <w:proofErr w:type="spellStart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Gainward</w:t>
      </w:r>
      <w:proofErr w:type="spellEnd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</w:t>
      </w:r>
      <w:proofErr w:type="spellStart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GeForce</w:t>
      </w:r>
      <w:proofErr w:type="spellEnd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RTX 3090 Ti Phantom jest dost</w:t>
      </w:r>
      <w:r w:rsidR="0015519B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ępna 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także w </w:t>
      </w:r>
      <w:r w:rsidR="0015519B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fabrycznie podkręconej 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wersji 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„</w:t>
      </w:r>
      <w:proofErr w:type="spellStart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Golden</w:t>
      </w:r>
      <w:proofErr w:type="spellEnd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</w:t>
      </w:r>
      <w:proofErr w:type="spellStart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Sample</w:t>
      </w:r>
      <w:proofErr w:type="spellEnd"/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”. Bez </w:t>
      </w:r>
      <w:r w:rsidR="00E1603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trudu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zapewnia </w:t>
      </w:r>
      <w:r w:rsidR="00E1603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bardzo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</w:t>
      </w:r>
      <w:r w:rsidR="00E1603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dużą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liczbę </w:t>
      </w:r>
      <w:r w:rsidR="00E1603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wyświetlanych 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klatek na sekundę, nawet w najbardziej w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ymagających grach komputerowych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i </w:t>
      </w:r>
      <w:r w:rsidR="00E1603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dostarcza </w:t>
      </w:r>
      <w:r w:rsidR="008F6469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najlepszych wrażeń z rozgrywki </w:t>
      </w:r>
      <w:r w:rsidRPr="00320E4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we wszystkich rozdzielczościach.</w:t>
      </w:r>
      <w:r w:rsidR="00CA1E92" w:rsidRPr="00CA1E92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CA1E92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To jednak twórcy dziedzin kreatywnych najbardziej docenią jej wydajność i szybkość. </w:t>
      </w:r>
    </w:p>
    <w:p w14:paraId="5F6374A5" w14:textId="77777777" w:rsidR="00A30D91" w:rsidRPr="00320E44" w:rsidRDefault="00A30D91">
      <w:pPr>
        <w:ind w:firstLine="220"/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</w:pPr>
    </w:p>
    <w:p w14:paraId="5113C4CC" w14:textId="205325E0" w:rsidR="00320E44" w:rsidRDefault="00320E44">
      <w:pPr>
        <w:ind w:firstLine="220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Dzięki obsłudze funkcji ARGB SYNC, </w:t>
      </w:r>
      <w:proofErr w:type="spellStart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GeForce</w:t>
      </w:r>
      <w:proofErr w:type="spellEnd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RTX 3090 Ti Phantom pozwala graczom </w:t>
      </w:r>
      <w:r w:rsidR="008E476B"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za pomocą jednego kabla dołączonego do zestawu</w:t>
      </w:r>
      <w:r w:rsidR="008E476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7D4A2B">
        <w:rPr>
          <w:rFonts w:asciiTheme="minorHAnsi" w:eastAsia="Calibri" w:hAnsiTheme="minorHAnsi" w:cstheme="minorHAnsi"/>
          <w:sz w:val="22"/>
          <w:szCs w:val="22"/>
          <w:lang w:val="pl-PL"/>
        </w:rPr>
        <w:t>z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synchronizować efekty świetlne </w:t>
      </w:r>
      <w:r w:rsidR="007D4A2B">
        <w:rPr>
          <w:rFonts w:asciiTheme="minorHAnsi" w:eastAsia="Calibri" w:hAnsiTheme="minorHAnsi" w:cstheme="minorHAnsi"/>
          <w:sz w:val="22"/>
          <w:szCs w:val="22"/>
          <w:lang w:val="pl-PL"/>
        </w:rPr>
        <w:t>karty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z innymi urządzeniami PC obsługującymi ARGB. Gracze mogą swobodnie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dawać upust swojej kreatywności</w:t>
      </w:r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za pomocą narzędzia </w:t>
      </w:r>
      <w:proofErr w:type="spellStart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EXPERTool</w:t>
      </w:r>
      <w:proofErr w:type="spellEnd"/>
      <w:r w:rsidRPr="00320E44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  <w:r w:rsidR="00CA1E92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</w:p>
    <w:p w14:paraId="608DB857" w14:textId="77777777" w:rsidR="00CA1E92" w:rsidRPr="00320E44" w:rsidRDefault="00CA1E92">
      <w:pPr>
        <w:ind w:firstLine="220"/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6E11AF23" w14:textId="37E5D7D8" w:rsidR="00A30D91" w:rsidRDefault="001E78D2">
      <w:pPr>
        <w:ind w:firstLine="2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  <w:lang w:val="pl-PL" w:eastAsia="pl-PL"/>
        </w:rPr>
        <w:drawing>
          <wp:inline distT="0" distB="0" distL="0" distR="0" wp14:anchorId="65E0B68F" wp14:editId="78C88268">
            <wp:extent cx="2457917" cy="730290"/>
            <wp:effectExtent l="0" t="0" r="0" b="0"/>
            <wp:docPr id="10" name="image3.png" descr="一張含有 文字, 標誌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一張含有 文字, 標誌 的圖片&#10;&#10;自動產生的描述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917" cy="73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 wp14:anchorId="3F3FD6A7" wp14:editId="0F1A9CB6">
            <wp:extent cx="757080" cy="728403"/>
            <wp:effectExtent l="0" t="0" r="0" b="0"/>
            <wp:docPr id="12" name="image2.png" descr="一張含有 文字, 監視器, 顯示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一張含有 文字, 監視器, 顯示 的圖片&#10;&#10;自動產生的描述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80" cy="728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noProof/>
          <w:lang w:val="pl-PL" w:eastAsia="pl-PL"/>
        </w:rPr>
        <w:drawing>
          <wp:inline distT="0" distB="0" distL="0" distR="0" wp14:anchorId="0AFAB601" wp14:editId="4F250D91">
            <wp:extent cx="1460521" cy="695681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521" cy="695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noProof/>
          <w:lang w:val="pl-PL" w:eastAsia="pl-PL"/>
        </w:rPr>
        <w:drawing>
          <wp:inline distT="0" distB="0" distL="0" distR="0" wp14:anchorId="5B865F45" wp14:editId="4D01D3F9">
            <wp:extent cx="1350977" cy="714737"/>
            <wp:effectExtent l="0" t="0" r="0" b="0"/>
            <wp:docPr id="13" name="image5.png" descr="一張含有 文字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一張含有 文字 的圖片&#10;&#10;自動產生的描述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0977" cy="714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964513" w14:textId="77777777" w:rsidR="00CA1E92" w:rsidRDefault="00CA1E92">
      <w:pPr>
        <w:ind w:firstLine="24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1072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3827"/>
        <w:gridCol w:w="4210"/>
      </w:tblGrid>
      <w:tr w:rsidR="00A30D91" w14:paraId="30FA5777" w14:textId="77777777">
        <w:trPr>
          <w:trHeight w:val="318"/>
        </w:trPr>
        <w:tc>
          <w:tcPr>
            <w:tcW w:w="10723" w:type="dxa"/>
            <w:gridSpan w:val="3"/>
          </w:tcPr>
          <w:p w14:paraId="3778D118" w14:textId="708018FA" w:rsidR="00A30D91" w:rsidRDefault="00E61A5D" w:rsidP="00E61A5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Seria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E78D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GAINWARD GeForce RTX 3090 </w:t>
            </w:r>
            <w:proofErr w:type="spellStart"/>
            <w:r w:rsidR="001E78D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Ti</w:t>
            </w:r>
            <w:proofErr w:type="spellEnd"/>
            <w:r w:rsidR="001E78D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Phantom </w:t>
            </w:r>
          </w:p>
        </w:tc>
      </w:tr>
      <w:tr w:rsidR="00A30D91" w14:paraId="33F27AF6" w14:textId="77777777">
        <w:trPr>
          <w:trHeight w:val="318"/>
        </w:trPr>
        <w:tc>
          <w:tcPr>
            <w:tcW w:w="10723" w:type="dxa"/>
            <w:gridSpan w:val="3"/>
          </w:tcPr>
          <w:p w14:paraId="0EFA5097" w14:textId="60E96254" w:rsidR="00A30D91" w:rsidRDefault="00E61A5D" w:rsidP="00E61A5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Spec</w:t>
            </w:r>
            <w:r w:rsidR="00021A7D">
              <w:rPr>
                <w:rFonts w:ascii="Arial" w:eastAsia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fikacj</w:t>
            </w:r>
            <w:r w:rsidR="00021A7D"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A30D91" w14:paraId="50ADEFBB" w14:textId="77777777">
        <w:trPr>
          <w:trHeight w:val="318"/>
        </w:trPr>
        <w:tc>
          <w:tcPr>
            <w:tcW w:w="2686" w:type="dxa"/>
          </w:tcPr>
          <w:p w14:paraId="7863FB7E" w14:textId="71B4BC28" w:rsidR="00A30D91" w:rsidRDefault="001E78D2" w:rsidP="00E61A5D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Na</w:t>
            </w:r>
            <w:r w:rsidR="00E61A5D">
              <w:rPr>
                <w:rFonts w:ascii="Calibri" w:eastAsia="Calibri" w:hAnsi="Calibri" w:cs="Calibri"/>
                <w:sz w:val="22"/>
                <w:szCs w:val="22"/>
              </w:rPr>
              <w:t>zwa</w:t>
            </w:r>
            <w:proofErr w:type="spellEnd"/>
            <w:r w:rsidR="00E61A5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E61A5D">
              <w:rPr>
                <w:rFonts w:ascii="Calibri" w:eastAsia="Calibri" w:hAnsi="Calibri" w:cs="Calibri"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3827" w:type="dxa"/>
            <w:tcBorders>
              <w:right w:val="single" w:sz="6" w:space="0" w:color="000000"/>
            </w:tcBorders>
          </w:tcPr>
          <w:p w14:paraId="2EB3FF98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GAINWARD</w:t>
            </w:r>
          </w:p>
          <w:p w14:paraId="4A613692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GeForce RTX 3090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proofErr w:type="spellEnd"/>
          </w:p>
          <w:p w14:paraId="0E775C67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Phantom GS</w:t>
            </w:r>
          </w:p>
        </w:tc>
        <w:tc>
          <w:tcPr>
            <w:tcW w:w="4210" w:type="dxa"/>
            <w:tcBorders>
              <w:right w:val="single" w:sz="6" w:space="0" w:color="000000"/>
            </w:tcBorders>
          </w:tcPr>
          <w:p w14:paraId="14209B56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GAINWARD</w:t>
            </w:r>
          </w:p>
          <w:p w14:paraId="41F3E365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GeForce RTX 3090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proofErr w:type="spellEnd"/>
          </w:p>
          <w:p w14:paraId="44677986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Phantom</w:t>
            </w:r>
          </w:p>
        </w:tc>
      </w:tr>
      <w:tr w:rsidR="00A30D91" w14:paraId="1F88A640" w14:textId="77777777">
        <w:trPr>
          <w:trHeight w:val="318"/>
        </w:trPr>
        <w:tc>
          <w:tcPr>
            <w:tcW w:w="2686" w:type="dxa"/>
          </w:tcPr>
          <w:p w14:paraId="3BD2C1E9" w14:textId="678A4811" w:rsidR="00A30D91" w:rsidRDefault="00E61A5D" w:rsidP="00E61A5D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Pamięć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pojemność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typ</w:t>
            </w:r>
            <w:proofErr w:type="spellEnd"/>
          </w:p>
        </w:tc>
        <w:tc>
          <w:tcPr>
            <w:tcW w:w="8037" w:type="dxa"/>
            <w:gridSpan w:val="2"/>
            <w:tcBorders>
              <w:right w:val="single" w:sz="6" w:space="0" w:color="000000"/>
            </w:tcBorders>
          </w:tcPr>
          <w:p w14:paraId="1F65CD7B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 GB GDDR6X</w:t>
            </w:r>
          </w:p>
        </w:tc>
      </w:tr>
      <w:tr w:rsidR="00A30D91" w14:paraId="7BE4FCC7" w14:textId="77777777">
        <w:trPr>
          <w:trHeight w:val="318"/>
        </w:trPr>
        <w:tc>
          <w:tcPr>
            <w:tcW w:w="2686" w:type="dxa"/>
          </w:tcPr>
          <w:p w14:paraId="585EB26D" w14:textId="7A46E0C3" w:rsidR="00A30D91" w:rsidRDefault="00E61A5D" w:rsidP="00E61A5D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Zegar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trybie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1E78D2">
              <w:rPr>
                <w:rFonts w:ascii="Calibri" w:eastAsia="Calibri" w:hAnsi="Calibri" w:cs="Calibri"/>
                <w:sz w:val="22"/>
                <w:szCs w:val="22"/>
              </w:rPr>
              <w:t>Boos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3827" w:type="dxa"/>
            <w:tcBorders>
              <w:right w:val="single" w:sz="6" w:space="0" w:color="000000"/>
            </w:tcBorders>
          </w:tcPr>
          <w:p w14:paraId="43EFDCE2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1890 MHz</w:t>
            </w:r>
          </w:p>
        </w:tc>
        <w:tc>
          <w:tcPr>
            <w:tcW w:w="4210" w:type="dxa"/>
            <w:tcBorders>
              <w:right w:val="single" w:sz="6" w:space="0" w:color="000000"/>
            </w:tcBorders>
          </w:tcPr>
          <w:p w14:paraId="63F9A969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1860 MHz</w:t>
            </w:r>
          </w:p>
        </w:tc>
      </w:tr>
      <w:tr w:rsidR="00A30D91" w14:paraId="229C4722" w14:textId="77777777">
        <w:trPr>
          <w:trHeight w:val="318"/>
        </w:trPr>
        <w:tc>
          <w:tcPr>
            <w:tcW w:w="2686" w:type="dxa"/>
          </w:tcPr>
          <w:p w14:paraId="1AC2641E" w14:textId="0749A7BE" w:rsidR="00A30D91" w:rsidRDefault="00E61A5D" w:rsidP="00E61A5D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Wyjścia</w:t>
            </w:r>
            <w:proofErr w:type="spellEnd"/>
          </w:p>
        </w:tc>
        <w:tc>
          <w:tcPr>
            <w:tcW w:w="8037" w:type="dxa"/>
            <w:gridSpan w:val="2"/>
            <w:tcBorders>
              <w:right w:val="single" w:sz="6" w:space="0" w:color="000000"/>
            </w:tcBorders>
            <w:vAlign w:val="center"/>
          </w:tcPr>
          <w:p w14:paraId="2E879643" w14:textId="5F933F23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  <w:r w:rsidR="00021A7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DisplayPort (1.4a), </w:t>
            </w:r>
            <w:r w:rsidR="00AF793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1x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HDMI (2.1)</w:t>
            </w:r>
          </w:p>
        </w:tc>
      </w:tr>
      <w:tr w:rsidR="00A30D91" w14:paraId="1D3BFD4D" w14:textId="77777777">
        <w:trPr>
          <w:trHeight w:val="318"/>
        </w:trPr>
        <w:tc>
          <w:tcPr>
            <w:tcW w:w="2686" w:type="dxa"/>
          </w:tcPr>
          <w:p w14:paraId="60619F11" w14:textId="1166DCAF" w:rsidR="00A30D91" w:rsidRDefault="00E61A5D" w:rsidP="00E61A5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Złącze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zasilania</w:t>
            </w:r>
            <w:proofErr w:type="spellEnd"/>
          </w:p>
        </w:tc>
        <w:tc>
          <w:tcPr>
            <w:tcW w:w="8037" w:type="dxa"/>
            <w:gridSpan w:val="2"/>
            <w:tcBorders>
              <w:right w:val="single" w:sz="6" w:space="0" w:color="000000"/>
            </w:tcBorders>
            <w:vAlign w:val="center"/>
          </w:tcPr>
          <w:p w14:paraId="1C204677" w14:textId="77777777" w:rsidR="00A30D91" w:rsidRDefault="001E78D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 pin</w:t>
            </w:r>
          </w:p>
        </w:tc>
      </w:tr>
    </w:tbl>
    <w:p w14:paraId="3DCBD9D4" w14:textId="2DEC8982" w:rsidR="00E61A5D" w:rsidRPr="00AC3509" w:rsidRDefault="001E78D2" w:rsidP="00E61A5D">
      <w:pPr>
        <w:ind w:hanging="2"/>
        <w:rPr>
          <w:rFonts w:ascii="Calibri" w:hAnsi="Calibri"/>
          <w:sz w:val="22"/>
          <w:szCs w:val="22"/>
          <w:lang w:val="pl-PL"/>
        </w:rPr>
      </w:pPr>
      <w:r w:rsidRPr="00E61A5D">
        <w:rPr>
          <w:rFonts w:ascii="Calibri" w:eastAsia="Calibri" w:hAnsi="Calibri" w:cs="Calibri"/>
          <w:b/>
          <w:sz w:val="22"/>
          <w:szCs w:val="22"/>
          <w:lang w:val="pl-PL"/>
        </w:rPr>
        <w:br/>
      </w:r>
      <w:r w:rsidR="00E61A5D" w:rsidRPr="00AC3509">
        <w:rPr>
          <w:rFonts w:ascii="Calibri" w:hAnsi="Calibri" w:cs="Arial"/>
          <w:b/>
          <w:sz w:val="22"/>
          <w:lang w:val="pl-PL"/>
        </w:rPr>
        <w:t xml:space="preserve">O firmie </w:t>
      </w:r>
      <w:r w:rsidR="00E61A5D" w:rsidRPr="00AC3509">
        <w:rPr>
          <w:rFonts w:ascii="Calibri" w:hAnsi="Calibri" w:cs="Arial"/>
          <w:b/>
          <w:sz w:val="22"/>
          <w:lang w:val="pl-PL"/>
        </w:rPr>
        <w:br/>
      </w:r>
      <w:r w:rsidR="00E61A5D" w:rsidRPr="00AC3509">
        <w:rPr>
          <w:rFonts w:ascii="Calibri" w:hAnsi="Calibri"/>
          <w:sz w:val="22"/>
          <w:szCs w:val="22"/>
          <w:lang w:val="pl-PL"/>
        </w:rPr>
        <w:t xml:space="preserve">Firma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Gainward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została założona w 1984. Misją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Gainwarda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jest produkowanie najbardziej zaawansowanych technicznie kart graficzne i najwyższy poziom zadowolenia klientów. Wysokiej klasy produkty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Gainwarda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cieszą się doskonałą renomą wśród entuzjastów. Wprowadzone przez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Gainwarda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określenia </w:t>
      </w:r>
      <w:r w:rsidR="00AF7930">
        <w:rPr>
          <w:rFonts w:ascii="Calibri" w:hAnsi="Calibri"/>
          <w:sz w:val="22"/>
          <w:szCs w:val="22"/>
          <w:lang w:val="pl-PL"/>
        </w:rPr>
        <w:t>„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Golden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Sample</w:t>
      </w:r>
      <w:proofErr w:type="spellEnd"/>
      <w:r w:rsidR="00AF7930">
        <w:rPr>
          <w:rFonts w:ascii="Calibri" w:hAnsi="Calibri"/>
          <w:sz w:val="22"/>
          <w:szCs w:val="22"/>
          <w:lang w:val="pl-PL"/>
        </w:rPr>
        <w:t>”</w:t>
      </w:r>
      <w:r w:rsidR="00E61A5D" w:rsidRPr="00AC3509">
        <w:rPr>
          <w:rFonts w:ascii="Calibri" w:hAnsi="Calibri"/>
          <w:sz w:val="22"/>
          <w:szCs w:val="22"/>
          <w:lang w:val="pl-PL"/>
        </w:rPr>
        <w:t xml:space="preserve"> (GS) i </w:t>
      </w:r>
      <w:r w:rsidR="00AF7930">
        <w:rPr>
          <w:rFonts w:ascii="Calibri" w:hAnsi="Calibri"/>
          <w:sz w:val="22"/>
          <w:szCs w:val="22"/>
          <w:lang w:val="pl-PL"/>
        </w:rPr>
        <w:t>„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Golden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Sample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- Goes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Like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Hell</w:t>
      </w:r>
      <w:proofErr w:type="spellEnd"/>
      <w:r w:rsidR="00AF7930">
        <w:rPr>
          <w:rFonts w:ascii="Calibri" w:hAnsi="Calibri"/>
          <w:sz w:val="22"/>
          <w:szCs w:val="22"/>
          <w:lang w:val="pl-PL"/>
        </w:rPr>
        <w:t>”</w:t>
      </w:r>
      <w:r w:rsidR="00E61A5D" w:rsidRPr="00AC3509">
        <w:rPr>
          <w:rFonts w:ascii="Calibri" w:hAnsi="Calibri"/>
          <w:sz w:val="22"/>
          <w:szCs w:val="22"/>
          <w:lang w:val="pl-PL"/>
        </w:rPr>
        <w:t xml:space="preserve"> (GS-GLH) stały się synonimami, którymi określa się mocno </w:t>
      </w:r>
      <w:r w:rsidR="00AF7930">
        <w:rPr>
          <w:rFonts w:ascii="Calibri" w:hAnsi="Calibri"/>
          <w:sz w:val="22"/>
          <w:szCs w:val="22"/>
          <w:lang w:val="pl-PL"/>
        </w:rPr>
        <w:t>i</w:t>
      </w:r>
      <w:r w:rsidR="00E61A5D" w:rsidRPr="00AC3509">
        <w:rPr>
          <w:rFonts w:ascii="Calibri" w:hAnsi="Calibri"/>
          <w:sz w:val="22"/>
          <w:szCs w:val="22"/>
          <w:lang w:val="pl-PL"/>
        </w:rPr>
        <w:t xml:space="preserve"> ekstremalnie podkręcone karty graficzne. Jako jedna z wiodących marek kart graficznych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Gainward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stale dostarcza najwydajniejsze produkty o doskonałej jakości starając się w ten potwierdzić zaufanie i szacunek klientów jakim obdarzają ją klienci. Główna siedziba firmy znajduje się w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Ta</w:t>
      </w:r>
      <w:r w:rsidR="00AF7930">
        <w:rPr>
          <w:rFonts w:ascii="Calibri" w:hAnsi="Calibri"/>
          <w:sz w:val="22"/>
          <w:szCs w:val="22"/>
          <w:lang w:val="pl-PL"/>
        </w:rPr>
        <w:t>j</w:t>
      </w:r>
      <w:r w:rsidR="00E61A5D" w:rsidRPr="00AC3509">
        <w:rPr>
          <w:rFonts w:ascii="Calibri" w:hAnsi="Calibri"/>
          <w:sz w:val="22"/>
          <w:szCs w:val="22"/>
          <w:lang w:val="pl-PL"/>
        </w:rPr>
        <w:t>pei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na Ta</w:t>
      </w:r>
      <w:r w:rsidR="00AF7930">
        <w:rPr>
          <w:rFonts w:ascii="Calibri" w:hAnsi="Calibri"/>
          <w:sz w:val="22"/>
          <w:szCs w:val="22"/>
          <w:lang w:val="pl-PL"/>
        </w:rPr>
        <w:t>j</w:t>
      </w:r>
      <w:r w:rsidR="00E61A5D" w:rsidRPr="00AC3509">
        <w:rPr>
          <w:rFonts w:ascii="Calibri" w:hAnsi="Calibri"/>
          <w:sz w:val="22"/>
          <w:szCs w:val="22"/>
          <w:lang w:val="pl-PL"/>
        </w:rPr>
        <w:t xml:space="preserve">wanie, fabryki w </w:t>
      </w:r>
      <w:proofErr w:type="spellStart"/>
      <w:r w:rsidR="00E61A5D" w:rsidRPr="00AC3509">
        <w:rPr>
          <w:rFonts w:ascii="Calibri" w:hAnsi="Calibri"/>
          <w:sz w:val="22"/>
          <w:szCs w:val="22"/>
          <w:lang w:val="pl-PL"/>
        </w:rPr>
        <w:t>Shenzhen</w:t>
      </w:r>
      <w:proofErr w:type="spellEnd"/>
      <w:r w:rsidR="00E61A5D" w:rsidRPr="00AC3509">
        <w:rPr>
          <w:rFonts w:ascii="Calibri" w:hAnsi="Calibri"/>
          <w:sz w:val="22"/>
          <w:szCs w:val="22"/>
          <w:lang w:val="pl-PL"/>
        </w:rPr>
        <w:t xml:space="preserve"> w Chinach, a oddział europejski ma siedzibę w Niemczech. Ambicją firmy jest dostarczanie swoich produktów na cały świat przy jednoczesnej ścisłej kooperacji z </w:t>
      </w:r>
      <w:r w:rsidR="00E61A5D" w:rsidRPr="00AC3509">
        <w:rPr>
          <w:rFonts w:ascii="Calibri" w:hAnsi="Calibri"/>
          <w:sz w:val="22"/>
          <w:szCs w:val="22"/>
          <w:lang w:val="pl-PL"/>
        </w:rPr>
        <w:lastRenderedPageBreak/>
        <w:t>lokalnymi partnerami.</w:t>
      </w:r>
    </w:p>
    <w:p w14:paraId="50706B89" w14:textId="77777777" w:rsidR="00E61A5D" w:rsidRPr="00AC3509" w:rsidRDefault="00E61A5D" w:rsidP="00E61A5D">
      <w:pPr>
        <w:ind w:hanging="2"/>
        <w:rPr>
          <w:rFonts w:ascii="Calibri" w:hAnsi="Calibri"/>
          <w:sz w:val="22"/>
          <w:szCs w:val="22"/>
          <w:lang w:val="pl-PL"/>
        </w:rPr>
      </w:pPr>
    </w:p>
    <w:p w14:paraId="114C485E" w14:textId="6A8548F5" w:rsidR="00A30D91" w:rsidRPr="00E61A5D" w:rsidRDefault="00E61A5D" w:rsidP="00E61A5D">
      <w:pPr>
        <w:ind w:hanging="2"/>
        <w:rPr>
          <w:rFonts w:ascii="Arial" w:eastAsia="Arial" w:hAnsi="Arial" w:cs="Arial"/>
          <w:sz w:val="22"/>
          <w:szCs w:val="22"/>
          <w:lang w:val="pl-PL"/>
        </w:rPr>
      </w:pPr>
      <w:r w:rsidRPr="00AC3509">
        <w:rPr>
          <w:rFonts w:ascii="Calibri" w:hAnsi="Calibri"/>
          <w:sz w:val="22"/>
          <w:szCs w:val="22"/>
          <w:lang w:val="pl-PL"/>
        </w:rPr>
        <w:t xml:space="preserve">Więcej informacji można znaleźć pod adresem </w:t>
      </w:r>
      <w:hyperlink r:id="rId11" w:history="1">
        <w:r w:rsidRPr="00AC3509">
          <w:rPr>
            <w:rStyle w:val="Hipercze"/>
            <w:rFonts w:ascii="Arial" w:hAnsi="Arial" w:cs="Arial"/>
            <w:sz w:val="22"/>
            <w:szCs w:val="22"/>
            <w:lang w:val="pl-PL"/>
          </w:rPr>
          <w:t>http://www.gainward.com</w:t>
        </w:r>
      </w:hyperlink>
    </w:p>
    <w:sectPr w:rsidR="00A30D91" w:rsidRPr="00E61A5D">
      <w:pgSz w:w="11906" w:h="16838"/>
      <w:pgMar w:top="540" w:right="720" w:bottom="45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91"/>
    <w:rsid w:val="00021A7D"/>
    <w:rsid w:val="0015519B"/>
    <w:rsid w:val="001E78D2"/>
    <w:rsid w:val="0028361A"/>
    <w:rsid w:val="00320E44"/>
    <w:rsid w:val="003E6DA4"/>
    <w:rsid w:val="00487F97"/>
    <w:rsid w:val="006F549D"/>
    <w:rsid w:val="007D4A2B"/>
    <w:rsid w:val="008E476B"/>
    <w:rsid w:val="008F6469"/>
    <w:rsid w:val="00A30D91"/>
    <w:rsid w:val="00A94044"/>
    <w:rsid w:val="00AF7930"/>
    <w:rsid w:val="00CA1E92"/>
    <w:rsid w:val="00D21585"/>
    <w:rsid w:val="00E16034"/>
    <w:rsid w:val="00E61A5D"/>
    <w:rsid w:val="00F3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1F3C"/>
  <w15:docId w15:val="{6B20E2AA-89F1-4B0F-8829-12B99380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9F1"/>
    <w:rPr>
      <w:kern w:val="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sid w:val="00517607"/>
    <w:rPr>
      <w:color w:val="0000FF"/>
      <w:u w:val="single"/>
    </w:rPr>
  </w:style>
  <w:style w:type="table" w:styleId="Tabela-Siatka">
    <w:name w:val="Table Grid"/>
    <w:basedOn w:val="Standardowy"/>
    <w:rsid w:val="00E1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133076"/>
    <w:rPr>
      <w:color w:val="800080"/>
      <w:u w:val="single"/>
    </w:rPr>
  </w:style>
  <w:style w:type="paragraph" w:customStyle="1" w:styleId="ListParagraph1">
    <w:name w:val="List Paragraph1"/>
    <w:basedOn w:val="Normalny"/>
    <w:qFormat/>
    <w:rsid w:val="00E416F5"/>
    <w:pPr>
      <w:widowControl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6C62FE"/>
    <w:rPr>
      <w:kern w:val="2"/>
    </w:rPr>
  </w:style>
  <w:style w:type="paragraph" w:styleId="Stopka">
    <w:name w:val="footer"/>
    <w:basedOn w:val="Normalny"/>
    <w:link w:val="StopkaZnak"/>
    <w:uiPriority w:val="99"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6C62FE"/>
    <w:rPr>
      <w:kern w:val="2"/>
    </w:rPr>
  </w:style>
  <w:style w:type="paragraph" w:styleId="Akapitzlist">
    <w:name w:val="List Paragraph"/>
    <w:basedOn w:val="Normalny"/>
    <w:uiPriority w:val="34"/>
    <w:qFormat/>
    <w:rsid w:val="00932C18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character" w:customStyle="1" w:styleId="A9">
    <w:name w:val="A9"/>
    <w:uiPriority w:val="99"/>
    <w:rsid w:val="005A3C42"/>
    <w:rPr>
      <w:rFonts w:ascii="DINPro-Regular" w:hAnsi="DINPro-Regular" w:hint="default"/>
      <w:color w:val="000000"/>
      <w:sz w:val="6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A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5A0D"/>
    <w:rPr>
      <w:rFonts w:ascii="Segoe UI" w:hAnsi="Segoe UI" w:cs="Segoe UI"/>
      <w:kern w:val="2"/>
      <w:sz w:val="18"/>
      <w:szCs w:val="18"/>
    </w:rPr>
  </w:style>
  <w:style w:type="character" w:styleId="Pogrubienie">
    <w:name w:val="Strong"/>
    <w:uiPriority w:val="22"/>
    <w:qFormat/>
    <w:rsid w:val="00D70011"/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gainward.com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wkUgrbmI8i7NLr6bvsVOTJVKKg==">AMUW2mW3fL/MWO+Y8+B7xD+gBtds4t57pcE9YC7OSVd4SgVgbobrxaMrf4vLBFsm2X/QWxkMFBqIt84GuT54JPp1HS5vbfaSWATce+fyAQF5IwT2CHqLtJE=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anna-nb</dc:creator>
  <cp:lastModifiedBy>Ewa Rudkowska</cp:lastModifiedBy>
  <cp:revision>2</cp:revision>
  <dcterms:created xsi:type="dcterms:W3CDTF">2022-03-29T09:53:00Z</dcterms:created>
  <dcterms:modified xsi:type="dcterms:W3CDTF">2022-03-29T09:53:00Z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2020-08-28T03:44:20.7555947Z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