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CC42F" w14:textId="77777777" w:rsidR="00A30D91" w:rsidRDefault="00A30D9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74EF7B8" w14:textId="4337D019" w:rsidR="00A30D91" w:rsidRDefault="001E78D2">
      <w:pPr>
        <w:pBdr>
          <w:bottom w:val="single" w:sz="6" w:space="1" w:color="000000"/>
        </w:pBdr>
        <w:tabs>
          <w:tab w:val="left" w:pos="720"/>
        </w:tabs>
        <w:ind w:right="-24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noProof/>
          <w:lang w:val="pl-PL" w:eastAsia="pl-PL"/>
        </w:rPr>
        <w:drawing>
          <wp:inline distT="0" distB="0" distL="0" distR="0" wp14:anchorId="368106FB" wp14:editId="0EF593F1">
            <wp:extent cx="6578600" cy="812800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1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 w:rsidR="00E61A5D">
        <w:rPr>
          <w:rFonts w:ascii="Calibri" w:eastAsia="Calibri" w:hAnsi="Calibri" w:cs="Calibri"/>
          <w:b/>
          <w:color w:val="000000"/>
          <w:sz w:val="28"/>
          <w:szCs w:val="28"/>
        </w:rPr>
        <w:t>Seria</w:t>
      </w:r>
      <w:proofErr w:type="spellEnd"/>
      <w:r w:rsidR="00E61A5D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GAINWARD GeForce RTX 3090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Ti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Phantom</w:t>
      </w:r>
    </w:p>
    <w:p w14:paraId="2B8233F9" w14:textId="19ACB288" w:rsidR="00A30D91" w:rsidRPr="00320E44" w:rsidRDefault="00320E44">
      <w:pPr>
        <w:ind w:firstLine="240"/>
        <w:rPr>
          <w:rFonts w:asciiTheme="minorHAnsi" w:eastAsia="Calibri" w:hAnsiTheme="minorHAnsi" w:cstheme="minorHAnsi"/>
          <w:sz w:val="22"/>
          <w:szCs w:val="22"/>
          <w:lang w:val="pl-PL"/>
        </w:rPr>
      </w:pPr>
      <w:r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Jako </w:t>
      </w:r>
      <w:r w:rsidR="00CA1E92">
        <w:rPr>
          <w:rFonts w:asciiTheme="minorHAnsi" w:eastAsia="Calibri" w:hAnsiTheme="minorHAnsi" w:cstheme="minorHAnsi"/>
          <w:sz w:val="22"/>
          <w:szCs w:val="22"/>
          <w:lang w:val="pl-PL"/>
        </w:rPr>
        <w:t>znana</w:t>
      </w:r>
      <w:r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marka 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>rynku kart graficznych dla entuzjastów</w:t>
      </w:r>
      <w:r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, </w:t>
      </w:r>
      <w:proofErr w:type="spellStart"/>
      <w:r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>Gainward</w:t>
      </w:r>
      <w:proofErr w:type="spellEnd"/>
      <w:r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z dumą prezentuje nową serię </w:t>
      </w:r>
      <w:proofErr w:type="spellStart"/>
      <w:r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>GeForce</w:t>
      </w:r>
      <w:proofErr w:type="spellEnd"/>
      <w:r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RTX™ 3090 Ti Phantom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>.</w:t>
      </w:r>
      <w:r w:rsidR="001E78D2" w:rsidRPr="001E78D2">
        <w:rPr>
          <w:rFonts w:asciiTheme="minorHAnsi" w:hAnsiTheme="minorHAnsi" w:cstheme="minorHAnsi"/>
          <w:noProof/>
          <w:lang w:val="pl-PL" w:eastAsia="pl-PL"/>
        </w:rPr>
        <w:drawing>
          <wp:anchor distT="0" distB="0" distL="114300" distR="114300" simplePos="0" relativeHeight="251658240" behindDoc="0" locked="0" layoutInCell="1" hidden="0" allowOverlap="1" wp14:anchorId="7E394656" wp14:editId="764C3D83">
            <wp:simplePos x="0" y="0"/>
            <wp:positionH relativeFrom="column">
              <wp:posOffset>4237355</wp:posOffset>
            </wp:positionH>
            <wp:positionV relativeFrom="paragraph">
              <wp:posOffset>88900</wp:posOffset>
            </wp:positionV>
            <wp:extent cx="2351405" cy="2618105"/>
            <wp:effectExtent l="0" t="0" r="0" b="0"/>
            <wp:wrapSquare wrapText="bothSides" distT="0" distB="0" distL="114300" distR="114300"/>
            <wp:docPr id="8" name="image6.png" descr="一張含有 文字 的圖片&#10;&#10;自動產生的描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一張含有 文字 的圖片&#10;&#10;自動產生的描述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2618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10A11D" w14:textId="77777777" w:rsidR="00A30D91" w:rsidRPr="00320E44" w:rsidRDefault="00A30D91">
      <w:pPr>
        <w:ind w:firstLine="240"/>
        <w:rPr>
          <w:rFonts w:asciiTheme="minorHAnsi" w:eastAsia="Calibri" w:hAnsiTheme="minorHAnsi" w:cstheme="minorHAnsi"/>
          <w:sz w:val="22"/>
          <w:szCs w:val="22"/>
          <w:lang w:val="pl-PL"/>
        </w:rPr>
      </w:pPr>
    </w:p>
    <w:p w14:paraId="28925498" w14:textId="69905817" w:rsidR="00320E44" w:rsidRPr="00487F97" w:rsidRDefault="00320E44" w:rsidP="00320E44">
      <w:pPr>
        <w:ind w:firstLine="220"/>
        <w:rPr>
          <w:rFonts w:asciiTheme="minorHAnsi" w:eastAsia="Arial" w:hAnsiTheme="minorHAnsi" w:cstheme="minorHAnsi"/>
          <w:sz w:val="22"/>
          <w:szCs w:val="22"/>
          <w:lang w:val="pl-PL"/>
        </w:rPr>
      </w:pPr>
      <w:r w:rsidRPr="00320E44">
        <w:rPr>
          <w:rFonts w:asciiTheme="minorHAnsi" w:eastAsia="Arial" w:hAnsiTheme="minorHAnsi" w:cstheme="minorHAnsi"/>
          <w:sz w:val="22"/>
          <w:szCs w:val="22"/>
          <w:lang w:val="pl-PL"/>
        </w:rPr>
        <w:t>Zaprojektowan</w:t>
      </w:r>
      <w:r w:rsidR="00487F97">
        <w:rPr>
          <w:rFonts w:asciiTheme="minorHAnsi" w:eastAsia="Arial" w:hAnsiTheme="minorHAnsi" w:cstheme="minorHAnsi"/>
          <w:sz w:val="22"/>
          <w:szCs w:val="22"/>
          <w:lang w:val="pl-PL"/>
        </w:rPr>
        <w:t>a</w:t>
      </w:r>
      <w:r w:rsidRPr="00320E44">
        <w:rPr>
          <w:rFonts w:asciiTheme="minorHAnsi" w:eastAsia="Arial" w:hAnsiTheme="minorHAnsi" w:cstheme="minorHAnsi"/>
          <w:sz w:val="22"/>
          <w:szCs w:val="22"/>
          <w:lang w:val="pl-PL"/>
        </w:rPr>
        <w:t xml:space="preserve"> </w:t>
      </w:r>
      <w:r w:rsidR="00487F97">
        <w:rPr>
          <w:rFonts w:asciiTheme="minorHAnsi" w:eastAsia="Arial" w:hAnsiTheme="minorHAnsi" w:cstheme="minorHAnsi"/>
          <w:sz w:val="22"/>
          <w:szCs w:val="22"/>
          <w:lang w:val="pl-PL"/>
        </w:rPr>
        <w:t>z myślą o</w:t>
      </w:r>
      <w:r w:rsidRPr="00320E44">
        <w:rPr>
          <w:rFonts w:asciiTheme="minorHAnsi" w:eastAsia="Arial" w:hAnsiTheme="minorHAnsi" w:cstheme="minorHAnsi"/>
          <w:sz w:val="22"/>
          <w:szCs w:val="22"/>
          <w:lang w:val="pl-PL"/>
        </w:rPr>
        <w:t xml:space="preserve"> najbardziej wymagających gracz</w:t>
      </w:r>
      <w:r w:rsidR="00487F97">
        <w:rPr>
          <w:rFonts w:asciiTheme="minorHAnsi" w:eastAsia="Arial" w:hAnsiTheme="minorHAnsi" w:cstheme="minorHAnsi"/>
          <w:sz w:val="22"/>
          <w:szCs w:val="22"/>
          <w:lang w:val="pl-PL"/>
        </w:rPr>
        <w:t>ach</w:t>
      </w:r>
      <w:r w:rsidRPr="00320E44">
        <w:rPr>
          <w:rFonts w:asciiTheme="minorHAnsi" w:eastAsia="Arial" w:hAnsiTheme="minorHAnsi" w:cstheme="minorHAnsi"/>
          <w:sz w:val="22"/>
          <w:szCs w:val="22"/>
          <w:lang w:val="pl-PL"/>
        </w:rPr>
        <w:t>, twórc</w:t>
      </w:r>
      <w:r w:rsidR="00487F97">
        <w:rPr>
          <w:rFonts w:asciiTheme="minorHAnsi" w:eastAsia="Arial" w:hAnsiTheme="minorHAnsi" w:cstheme="minorHAnsi"/>
          <w:sz w:val="22"/>
          <w:szCs w:val="22"/>
          <w:lang w:val="pl-PL"/>
        </w:rPr>
        <w:t>ach</w:t>
      </w:r>
      <w:r w:rsidRPr="00320E44">
        <w:rPr>
          <w:rFonts w:asciiTheme="minorHAnsi" w:eastAsia="Arial" w:hAnsiTheme="minorHAnsi" w:cstheme="minorHAnsi"/>
          <w:sz w:val="22"/>
          <w:szCs w:val="22"/>
          <w:lang w:val="pl-PL"/>
        </w:rPr>
        <w:t xml:space="preserve"> treści i </w:t>
      </w:r>
      <w:r w:rsidR="00487F97">
        <w:rPr>
          <w:rFonts w:asciiTheme="minorHAnsi" w:eastAsia="Arial" w:hAnsiTheme="minorHAnsi" w:cstheme="minorHAnsi"/>
          <w:sz w:val="22"/>
          <w:szCs w:val="22"/>
          <w:lang w:val="pl-PL"/>
        </w:rPr>
        <w:t>analitykach</w:t>
      </w:r>
      <w:r w:rsidR="00F3566B">
        <w:rPr>
          <w:rFonts w:asciiTheme="minorHAnsi" w:eastAsia="Arial" w:hAnsiTheme="minorHAnsi" w:cstheme="minorHAnsi"/>
          <w:sz w:val="22"/>
          <w:szCs w:val="22"/>
          <w:lang w:val="pl-PL"/>
        </w:rPr>
        <w:t xml:space="preserve"> przetwarzających duże ilości danych</w:t>
      </w:r>
      <w:r w:rsidRPr="00320E44">
        <w:rPr>
          <w:rFonts w:asciiTheme="minorHAnsi" w:eastAsia="Arial" w:hAnsiTheme="minorHAnsi" w:cstheme="minorHAnsi"/>
          <w:sz w:val="22"/>
          <w:szCs w:val="22"/>
          <w:lang w:val="pl-PL"/>
        </w:rPr>
        <w:t xml:space="preserve">, </w:t>
      </w:r>
      <w:proofErr w:type="spellStart"/>
      <w:r w:rsidRPr="00320E44">
        <w:rPr>
          <w:rFonts w:asciiTheme="minorHAnsi" w:eastAsia="Arial" w:hAnsiTheme="minorHAnsi" w:cstheme="minorHAnsi"/>
          <w:sz w:val="22"/>
          <w:szCs w:val="22"/>
          <w:lang w:val="pl-PL"/>
        </w:rPr>
        <w:t>GeForce</w:t>
      </w:r>
      <w:proofErr w:type="spellEnd"/>
      <w:r w:rsidRPr="00320E44">
        <w:rPr>
          <w:rFonts w:asciiTheme="minorHAnsi" w:eastAsia="Arial" w:hAnsiTheme="minorHAnsi" w:cstheme="minorHAnsi"/>
          <w:sz w:val="22"/>
          <w:szCs w:val="22"/>
          <w:lang w:val="pl-PL"/>
        </w:rPr>
        <w:t xml:space="preserve"> RTX 3090 Ti oferuje rekordową liczbę 10 752 rdzeni CUDA i </w:t>
      </w:r>
      <w:r w:rsidR="006F549D">
        <w:rPr>
          <w:rFonts w:asciiTheme="minorHAnsi" w:eastAsia="Arial" w:hAnsiTheme="minorHAnsi" w:cstheme="minorHAnsi"/>
          <w:sz w:val="22"/>
          <w:szCs w:val="22"/>
          <w:lang w:val="pl-PL"/>
        </w:rPr>
        <w:t xml:space="preserve">może się pochwalić mocą </w:t>
      </w:r>
      <w:r w:rsidRPr="00320E44">
        <w:rPr>
          <w:rFonts w:asciiTheme="minorHAnsi" w:eastAsia="Arial" w:hAnsiTheme="minorHAnsi" w:cstheme="minorHAnsi"/>
          <w:sz w:val="22"/>
          <w:szCs w:val="22"/>
          <w:lang w:val="pl-PL"/>
        </w:rPr>
        <w:t>78 RT-TFLOP</w:t>
      </w:r>
      <w:r w:rsidR="003E6DA4">
        <w:rPr>
          <w:rFonts w:asciiTheme="minorHAnsi" w:eastAsia="Arial" w:hAnsiTheme="minorHAnsi" w:cstheme="minorHAnsi"/>
          <w:sz w:val="22"/>
          <w:szCs w:val="22"/>
          <w:lang w:val="pl-PL"/>
        </w:rPr>
        <w:t>S</w:t>
      </w:r>
      <w:r w:rsidRPr="00320E44">
        <w:rPr>
          <w:rFonts w:asciiTheme="minorHAnsi" w:eastAsia="Arial" w:hAnsiTheme="minorHAnsi" w:cstheme="minorHAnsi"/>
          <w:sz w:val="22"/>
          <w:szCs w:val="22"/>
          <w:lang w:val="pl-PL"/>
        </w:rPr>
        <w:t xml:space="preserve">, 40 </w:t>
      </w:r>
      <w:proofErr w:type="spellStart"/>
      <w:r w:rsidRPr="00320E44">
        <w:rPr>
          <w:rFonts w:asciiTheme="minorHAnsi" w:eastAsia="Arial" w:hAnsiTheme="minorHAnsi" w:cstheme="minorHAnsi"/>
          <w:sz w:val="22"/>
          <w:szCs w:val="22"/>
          <w:lang w:val="pl-PL"/>
        </w:rPr>
        <w:t>Shader</w:t>
      </w:r>
      <w:proofErr w:type="spellEnd"/>
      <w:r w:rsidRPr="00320E44">
        <w:rPr>
          <w:rFonts w:asciiTheme="minorHAnsi" w:eastAsia="Arial" w:hAnsiTheme="minorHAnsi" w:cstheme="minorHAnsi"/>
          <w:sz w:val="22"/>
          <w:szCs w:val="22"/>
          <w:lang w:val="pl-PL"/>
        </w:rPr>
        <w:t>-TFLOP</w:t>
      </w:r>
      <w:r w:rsidR="003E6DA4">
        <w:rPr>
          <w:rFonts w:asciiTheme="minorHAnsi" w:eastAsia="Arial" w:hAnsiTheme="minorHAnsi" w:cstheme="minorHAnsi"/>
          <w:sz w:val="22"/>
          <w:szCs w:val="22"/>
          <w:lang w:val="pl-PL"/>
        </w:rPr>
        <w:t>S</w:t>
      </w:r>
      <w:r w:rsidRPr="00320E44">
        <w:rPr>
          <w:rFonts w:asciiTheme="minorHAnsi" w:eastAsia="Arial" w:hAnsiTheme="minorHAnsi" w:cstheme="minorHAnsi"/>
          <w:sz w:val="22"/>
          <w:szCs w:val="22"/>
          <w:lang w:val="pl-PL"/>
        </w:rPr>
        <w:t xml:space="preserve"> i 320 Tensor-TFLOP</w:t>
      </w:r>
      <w:r w:rsidR="003E6DA4">
        <w:rPr>
          <w:rFonts w:asciiTheme="minorHAnsi" w:eastAsia="Arial" w:hAnsiTheme="minorHAnsi" w:cstheme="minorHAnsi"/>
          <w:sz w:val="22"/>
          <w:szCs w:val="22"/>
          <w:lang w:val="pl-PL"/>
        </w:rPr>
        <w:t>S</w:t>
      </w:r>
      <w:r w:rsidRPr="00320E44">
        <w:rPr>
          <w:rFonts w:asciiTheme="minorHAnsi" w:eastAsia="Arial" w:hAnsiTheme="minorHAnsi" w:cstheme="minorHAnsi"/>
          <w:sz w:val="22"/>
          <w:szCs w:val="22"/>
          <w:lang w:val="pl-PL"/>
        </w:rPr>
        <w:t xml:space="preserve">. </w:t>
      </w:r>
      <w:r w:rsidRPr="00487F97">
        <w:rPr>
          <w:rFonts w:asciiTheme="minorHAnsi" w:eastAsia="Arial" w:hAnsiTheme="minorHAnsi" w:cstheme="minorHAnsi"/>
          <w:sz w:val="22"/>
          <w:szCs w:val="22"/>
          <w:lang w:val="pl-PL"/>
        </w:rPr>
        <w:t>Jest wyposażon</w:t>
      </w:r>
      <w:r w:rsidR="0028361A">
        <w:rPr>
          <w:rFonts w:asciiTheme="minorHAnsi" w:eastAsia="Arial" w:hAnsiTheme="minorHAnsi" w:cstheme="minorHAnsi"/>
          <w:sz w:val="22"/>
          <w:szCs w:val="22"/>
          <w:lang w:val="pl-PL"/>
        </w:rPr>
        <w:t>a</w:t>
      </w:r>
      <w:r w:rsidRPr="00487F97">
        <w:rPr>
          <w:rFonts w:asciiTheme="minorHAnsi" w:eastAsia="Arial" w:hAnsiTheme="minorHAnsi" w:cstheme="minorHAnsi"/>
          <w:sz w:val="22"/>
          <w:szCs w:val="22"/>
          <w:lang w:val="pl-PL"/>
        </w:rPr>
        <w:t xml:space="preserve"> w 24 GB najszybszej (21 </w:t>
      </w:r>
      <w:proofErr w:type="spellStart"/>
      <w:r w:rsidRPr="00487F97">
        <w:rPr>
          <w:rFonts w:asciiTheme="minorHAnsi" w:eastAsia="Arial" w:hAnsiTheme="minorHAnsi" w:cstheme="minorHAnsi"/>
          <w:sz w:val="22"/>
          <w:szCs w:val="22"/>
          <w:lang w:val="pl-PL"/>
        </w:rPr>
        <w:t>Gb</w:t>
      </w:r>
      <w:proofErr w:type="spellEnd"/>
      <w:r w:rsidR="00D21585">
        <w:rPr>
          <w:rFonts w:asciiTheme="minorHAnsi" w:eastAsia="Arial" w:hAnsiTheme="minorHAnsi" w:cstheme="minorHAnsi"/>
          <w:sz w:val="22"/>
          <w:szCs w:val="22"/>
          <w:lang w:val="pl-PL"/>
        </w:rPr>
        <w:t>/</w:t>
      </w:r>
      <w:r w:rsidRPr="00487F97">
        <w:rPr>
          <w:rFonts w:asciiTheme="minorHAnsi" w:eastAsia="Arial" w:hAnsiTheme="minorHAnsi" w:cstheme="minorHAnsi"/>
          <w:sz w:val="22"/>
          <w:szCs w:val="22"/>
          <w:lang w:val="pl-PL"/>
        </w:rPr>
        <w:t xml:space="preserve">s) pamięci GDDR6X, zapewniającej przepustowość </w:t>
      </w:r>
      <w:r w:rsidR="00D21585">
        <w:rPr>
          <w:rFonts w:asciiTheme="minorHAnsi" w:eastAsia="Arial" w:hAnsiTheme="minorHAnsi" w:cstheme="minorHAnsi"/>
          <w:sz w:val="22"/>
          <w:szCs w:val="22"/>
          <w:lang w:val="pl-PL"/>
        </w:rPr>
        <w:t xml:space="preserve">na poziomie </w:t>
      </w:r>
      <w:r w:rsidRPr="00487F97">
        <w:rPr>
          <w:rFonts w:asciiTheme="minorHAnsi" w:eastAsia="Arial" w:hAnsiTheme="minorHAnsi" w:cstheme="minorHAnsi"/>
          <w:sz w:val="22"/>
          <w:szCs w:val="22"/>
          <w:lang w:val="pl-PL"/>
        </w:rPr>
        <w:t>1 TB/s.</w:t>
      </w:r>
    </w:p>
    <w:p w14:paraId="42019E37" w14:textId="0C8A65CD" w:rsidR="00A30D91" w:rsidRPr="00320E44" w:rsidRDefault="00A30D91">
      <w:pPr>
        <w:ind w:firstLine="240"/>
        <w:rPr>
          <w:rFonts w:asciiTheme="minorHAnsi" w:eastAsia="Arial" w:hAnsiTheme="minorHAnsi" w:cstheme="minorHAnsi"/>
          <w:sz w:val="20"/>
          <w:szCs w:val="20"/>
          <w:lang w:val="pl-PL"/>
        </w:rPr>
      </w:pPr>
    </w:p>
    <w:p w14:paraId="0381605E" w14:textId="79B28627" w:rsidR="00320E44" w:rsidRPr="00320E44" w:rsidRDefault="00320E44">
      <w:pPr>
        <w:ind w:firstLine="220"/>
        <w:rPr>
          <w:rFonts w:asciiTheme="minorHAnsi" w:eastAsia="Calibri" w:hAnsiTheme="minorHAnsi" w:cstheme="minorHAnsi"/>
          <w:sz w:val="22"/>
          <w:szCs w:val="22"/>
          <w:lang w:val="pl-PL"/>
        </w:rPr>
      </w:pPr>
      <w:r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Układ chłodzenia kart Phantom jest </w:t>
      </w:r>
      <w:r w:rsidR="00A94044">
        <w:rPr>
          <w:rFonts w:asciiTheme="minorHAnsi" w:eastAsia="Calibri" w:hAnsiTheme="minorHAnsi" w:cstheme="minorHAnsi"/>
          <w:sz w:val="22"/>
          <w:szCs w:val="22"/>
          <w:lang w:val="pl-PL"/>
        </w:rPr>
        <w:t>jednocześnie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elegancki jak i skuteczny. Dzięki zastosowaniu metalowych płyt</w:t>
      </w:r>
      <w:r w:rsidR="00A94044">
        <w:rPr>
          <w:rFonts w:asciiTheme="minorHAnsi" w:eastAsia="Calibri" w:hAnsiTheme="minorHAnsi" w:cstheme="minorHAnsi"/>
          <w:sz w:val="22"/>
          <w:szCs w:val="22"/>
          <w:lang w:val="pl-PL"/>
        </w:rPr>
        <w:t>ek</w:t>
      </w:r>
      <w:r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i opatentowanej technologii rurki cieplnej typu U, 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>układ chłodz</w:t>
      </w:r>
      <w:r w:rsidR="00A94044">
        <w:rPr>
          <w:rFonts w:asciiTheme="minorHAnsi" w:eastAsia="Calibri" w:hAnsiTheme="minorHAnsi" w:cstheme="minorHAnsi"/>
          <w:sz w:val="22"/>
          <w:szCs w:val="22"/>
          <w:lang w:val="pl-PL"/>
        </w:rPr>
        <w:t>enia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kart </w:t>
      </w:r>
      <w:r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Phantom oferuje niezrównaną wydajność termiczną, a także niski poziom hałasu 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>nawet w mocno obciążający</w:t>
      </w:r>
      <w:r w:rsidR="00A94044">
        <w:rPr>
          <w:rFonts w:asciiTheme="minorHAnsi" w:eastAsia="Calibri" w:hAnsiTheme="minorHAnsi" w:cstheme="minorHAnsi"/>
          <w:sz w:val="22"/>
          <w:szCs w:val="22"/>
          <w:lang w:val="pl-PL"/>
        </w:rPr>
        <w:t>m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sprzęt </w:t>
      </w:r>
      <w:r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>środowisku g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>ier</w:t>
      </w:r>
      <w:r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>.</w:t>
      </w:r>
    </w:p>
    <w:p w14:paraId="7B446649" w14:textId="77777777" w:rsidR="00A30D91" w:rsidRPr="00320E44" w:rsidRDefault="00A30D91">
      <w:pPr>
        <w:rPr>
          <w:rFonts w:asciiTheme="minorHAnsi" w:eastAsia="Calibri" w:hAnsiTheme="minorHAnsi" w:cstheme="minorHAnsi"/>
          <w:sz w:val="22"/>
          <w:szCs w:val="22"/>
          <w:lang w:val="pl-PL"/>
        </w:rPr>
      </w:pPr>
    </w:p>
    <w:p w14:paraId="6A77147E" w14:textId="2B18E65C" w:rsidR="00320E44" w:rsidRPr="00320E44" w:rsidRDefault="00320E44">
      <w:pPr>
        <w:ind w:firstLine="22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Karta </w:t>
      </w:r>
      <w:proofErr w:type="spellStart"/>
      <w:r w:rsidRPr="00320E4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Gainward</w:t>
      </w:r>
      <w:proofErr w:type="spellEnd"/>
      <w:r w:rsidRPr="00320E4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</w:t>
      </w:r>
      <w:proofErr w:type="spellStart"/>
      <w:r w:rsidRPr="00320E4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GeForce</w:t>
      </w:r>
      <w:proofErr w:type="spellEnd"/>
      <w:r w:rsidRPr="00320E4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RTX 3090 Ti Phantom jest dost</w:t>
      </w:r>
      <w:r w:rsidR="0015519B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ępna 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także w </w:t>
      </w:r>
      <w:r w:rsidR="0015519B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fabrycznie podkręconej 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wersji </w:t>
      </w:r>
      <w:r w:rsidRPr="00320E4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„</w:t>
      </w:r>
      <w:proofErr w:type="spellStart"/>
      <w:r w:rsidRPr="00320E4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Golden</w:t>
      </w:r>
      <w:proofErr w:type="spellEnd"/>
      <w:r w:rsidRPr="00320E4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</w:t>
      </w:r>
      <w:proofErr w:type="spellStart"/>
      <w:r w:rsidRPr="00320E4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Sample</w:t>
      </w:r>
      <w:proofErr w:type="spellEnd"/>
      <w:r w:rsidRPr="00320E4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”. Bez </w:t>
      </w:r>
      <w:r w:rsidR="00E1603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trudu</w:t>
      </w:r>
      <w:r w:rsidRPr="00320E4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zapewnia </w:t>
      </w:r>
      <w:r w:rsidR="00E1603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bardzo</w:t>
      </w:r>
      <w:r w:rsidRPr="00320E4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</w:t>
      </w:r>
      <w:r w:rsidR="00E1603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dużą</w:t>
      </w:r>
      <w:r w:rsidRPr="00320E4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liczbę </w:t>
      </w:r>
      <w:r w:rsidR="00E1603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wyświetlanych </w:t>
      </w:r>
      <w:r w:rsidRPr="00320E4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klatek na sekundę, nawet w najbardziej w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ymagających grach komputerowych</w:t>
      </w:r>
      <w:r w:rsidRPr="00320E4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i </w:t>
      </w:r>
      <w:r w:rsidR="00E1603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dostarcza </w:t>
      </w:r>
      <w:r w:rsidR="008F6469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najlepszych wrażeń z rozgrywki </w:t>
      </w:r>
      <w:r w:rsidRPr="00320E4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we wszystkich rozdzielczościach.</w:t>
      </w:r>
      <w:r w:rsidR="00CA1E92" w:rsidRPr="00CA1E92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</w:t>
      </w:r>
      <w:r w:rsidR="00CA1E92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To jednak twórcy dziedzin kreatywnych najbardziej docenią jej wydajność i szybkość. </w:t>
      </w:r>
    </w:p>
    <w:p w14:paraId="5F6374A5" w14:textId="77777777" w:rsidR="00A30D91" w:rsidRPr="00320E44" w:rsidRDefault="00A30D91">
      <w:pPr>
        <w:ind w:firstLine="22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5113C4CC" w14:textId="205325E0" w:rsidR="00320E44" w:rsidRDefault="00320E44">
      <w:pPr>
        <w:ind w:firstLine="220"/>
        <w:rPr>
          <w:rFonts w:asciiTheme="minorHAnsi" w:eastAsia="Calibri" w:hAnsiTheme="minorHAnsi" w:cstheme="minorHAnsi"/>
          <w:sz w:val="22"/>
          <w:szCs w:val="22"/>
          <w:lang w:val="pl-PL"/>
        </w:rPr>
      </w:pPr>
      <w:r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Dzięki obsłudze funkcji ARGB SYNC, </w:t>
      </w:r>
      <w:proofErr w:type="spellStart"/>
      <w:r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>GeForce</w:t>
      </w:r>
      <w:proofErr w:type="spellEnd"/>
      <w:r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RTX 3090 Ti Phantom pozwala graczom </w:t>
      </w:r>
      <w:r w:rsidR="008E476B"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>za pomocą jednego kabla dołączonego do zestawu</w:t>
      </w:r>
      <w:r w:rsidR="008E476B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</w:t>
      </w:r>
      <w:r w:rsidR="007D4A2B">
        <w:rPr>
          <w:rFonts w:asciiTheme="minorHAnsi" w:eastAsia="Calibri" w:hAnsiTheme="minorHAnsi" w:cstheme="minorHAnsi"/>
          <w:sz w:val="22"/>
          <w:szCs w:val="22"/>
          <w:lang w:val="pl-PL"/>
        </w:rPr>
        <w:t>z</w:t>
      </w:r>
      <w:r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synchronizować efekty świetlne </w:t>
      </w:r>
      <w:r w:rsidR="007D4A2B">
        <w:rPr>
          <w:rFonts w:asciiTheme="minorHAnsi" w:eastAsia="Calibri" w:hAnsiTheme="minorHAnsi" w:cstheme="minorHAnsi"/>
          <w:sz w:val="22"/>
          <w:szCs w:val="22"/>
          <w:lang w:val="pl-PL"/>
        </w:rPr>
        <w:t>karty</w:t>
      </w:r>
      <w:r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z innymi urządzeniami PC obsługującymi ARGB. Gracze mogą swobodnie 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>dawać upust swojej kreatywności</w:t>
      </w:r>
      <w:r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za pomocą narzędzia </w:t>
      </w:r>
      <w:proofErr w:type="spellStart"/>
      <w:r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>EXPERTool</w:t>
      </w:r>
      <w:proofErr w:type="spellEnd"/>
      <w:r w:rsidRPr="00320E44">
        <w:rPr>
          <w:rFonts w:asciiTheme="minorHAnsi" w:eastAsia="Calibri" w:hAnsiTheme="minorHAnsi" w:cstheme="minorHAnsi"/>
          <w:sz w:val="22"/>
          <w:szCs w:val="22"/>
          <w:lang w:val="pl-PL"/>
        </w:rPr>
        <w:t>.</w:t>
      </w:r>
      <w:r w:rsidR="00CA1E92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</w:t>
      </w:r>
    </w:p>
    <w:p w14:paraId="608DB857" w14:textId="77777777" w:rsidR="00CA1E92" w:rsidRPr="00320E44" w:rsidRDefault="00CA1E92">
      <w:pPr>
        <w:ind w:firstLine="220"/>
        <w:rPr>
          <w:rFonts w:asciiTheme="minorHAnsi" w:eastAsia="Calibri" w:hAnsiTheme="minorHAnsi" w:cstheme="minorHAnsi"/>
          <w:sz w:val="22"/>
          <w:szCs w:val="22"/>
          <w:lang w:val="pl-PL"/>
        </w:rPr>
      </w:pPr>
    </w:p>
    <w:p w14:paraId="6E11AF23" w14:textId="37E5D7D8" w:rsidR="00A30D91" w:rsidRDefault="001E78D2">
      <w:pPr>
        <w:ind w:firstLine="24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  <w:lang w:val="pl-PL" w:eastAsia="pl-PL"/>
        </w:rPr>
        <w:drawing>
          <wp:inline distT="0" distB="0" distL="0" distR="0" wp14:anchorId="65E0B68F" wp14:editId="78C88268">
            <wp:extent cx="2457917" cy="730290"/>
            <wp:effectExtent l="0" t="0" r="0" b="0"/>
            <wp:docPr id="10" name="image3.png" descr="一張含有 文字, 標誌 的圖片&#10;&#10;自動產生的描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一張含有 文字, 標誌 的圖片&#10;&#10;自動產生的描述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917" cy="730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 wp14:anchorId="3F3FD6A7" wp14:editId="0F1A9CB6">
            <wp:extent cx="757080" cy="728403"/>
            <wp:effectExtent l="0" t="0" r="0" b="0"/>
            <wp:docPr id="12" name="image2.png" descr="一張含有 文字, 監視器, 顯示 的圖片&#10;&#10;自動產生的描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一張含有 文字, 監視器, 顯示 的圖片&#10;&#10;自動產生的描述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080" cy="728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0AFAB601" wp14:editId="4F250D91">
            <wp:extent cx="1460521" cy="695681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21" cy="695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5B865F45" wp14:editId="4D01D3F9">
            <wp:extent cx="1350977" cy="714737"/>
            <wp:effectExtent l="0" t="0" r="0" b="0"/>
            <wp:docPr id="13" name="image5.png" descr="一張含有 文字 的圖片&#10;&#10;自動產生的描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一張含有 文字 的圖片&#10;&#10;自動產生的描述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0977" cy="714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964513" w14:textId="77777777" w:rsidR="00CA1E92" w:rsidRDefault="00CA1E92">
      <w:pPr>
        <w:ind w:firstLine="240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"/>
        <w:tblW w:w="1072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6"/>
        <w:gridCol w:w="3827"/>
        <w:gridCol w:w="4210"/>
      </w:tblGrid>
      <w:tr w:rsidR="00A30D91" w14:paraId="30FA5777" w14:textId="77777777">
        <w:trPr>
          <w:trHeight w:val="318"/>
        </w:trPr>
        <w:tc>
          <w:tcPr>
            <w:tcW w:w="10723" w:type="dxa"/>
            <w:gridSpan w:val="3"/>
          </w:tcPr>
          <w:p w14:paraId="3778D118" w14:textId="708018FA" w:rsidR="00A30D91" w:rsidRDefault="00E61A5D" w:rsidP="00E61A5D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Seria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1E78D2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GAINWARD GeForce RTX 3090 </w:t>
            </w:r>
            <w:proofErr w:type="spellStart"/>
            <w:r w:rsidR="001E78D2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Ti</w:t>
            </w:r>
            <w:proofErr w:type="spellEnd"/>
            <w:r w:rsidR="001E78D2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Phantom </w:t>
            </w:r>
          </w:p>
        </w:tc>
      </w:tr>
      <w:tr w:rsidR="00A30D91" w14:paraId="33F27AF6" w14:textId="77777777">
        <w:trPr>
          <w:trHeight w:val="318"/>
        </w:trPr>
        <w:tc>
          <w:tcPr>
            <w:tcW w:w="10723" w:type="dxa"/>
            <w:gridSpan w:val="3"/>
          </w:tcPr>
          <w:p w14:paraId="0EFA5097" w14:textId="60E96254" w:rsidR="00A30D91" w:rsidRDefault="00E61A5D" w:rsidP="00E61A5D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Spec</w:t>
            </w:r>
            <w:r w:rsidR="00021A7D">
              <w:rPr>
                <w:rFonts w:ascii="Arial" w:eastAsia="Arial" w:hAnsi="Arial" w:cs="Arial"/>
                <w:b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fikacj</w:t>
            </w:r>
            <w:r w:rsidR="00021A7D"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proofErr w:type="spellEnd"/>
          </w:p>
        </w:tc>
      </w:tr>
      <w:tr w:rsidR="00A30D91" w14:paraId="50ADEFBB" w14:textId="77777777">
        <w:trPr>
          <w:trHeight w:val="318"/>
        </w:trPr>
        <w:tc>
          <w:tcPr>
            <w:tcW w:w="2686" w:type="dxa"/>
          </w:tcPr>
          <w:p w14:paraId="7863FB7E" w14:textId="71B4BC28" w:rsidR="00A30D91" w:rsidRDefault="001E78D2" w:rsidP="00E61A5D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Na</w:t>
            </w:r>
            <w:r w:rsidR="00E61A5D">
              <w:rPr>
                <w:rFonts w:ascii="Calibri" w:eastAsia="Calibri" w:hAnsi="Calibri" w:cs="Calibri"/>
                <w:sz w:val="22"/>
                <w:szCs w:val="22"/>
              </w:rPr>
              <w:t>zwa</w:t>
            </w:r>
            <w:proofErr w:type="spellEnd"/>
            <w:r w:rsidR="00E61A5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E61A5D">
              <w:rPr>
                <w:rFonts w:ascii="Calibri" w:eastAsia="Calibri" w:hAnsi="Calibri" w:cs="Calibri"/>
                <w:sz w:val="22"/>
                <w:szCs w:val="22"/>
              </w:rPr>
              <w:t>produktu</w:t>
            </w:r>
            <w:proofErr w:type="spellEnd"/>
          </w:p>
        </w:tc>
        <w:tc>
          <w:tcPr>
            <w:tcW w:w="3827" w:type="dxa"/>
            <w:tcBorders>
              <w:right w:val="single" w:sz="6" w:space="0" w:color="000000"/>
            </w:tcBorders>
          </w:tcPr>
          <w:p w14:paraId="2EB3FF98" w14:textId="77777777" w:rsidR="00A30D91" w:rsidRDefault="001E7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GAINWARD</w:t>
            </w:r>
          </w:p>
          <w:p w14:paraId="4A613692" w14:textId="77777777" w:rsidR="00A30D91" w:rsidRDefault="001E7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GeForce RTX 3090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proofErr w:type="spellEnd"/>
          </w:p>
          <w:p w14:paraId="0E775C67" w14:textId="77777777" w:rsidR="00A30D91" w:rsidRDefault="001E7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Phantom GS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14209B56" w14:textId="77777777" w:rsidR="00A30D91" w:rsidRDefault="001E7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GAINWARD</w:t>
            </w:r>
          </w:p>
          <w:p w14:paraId="41F3E365" w14:textId="77777777" w:rsidR="00A30D91" w:rsidRDefault="001E7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GeForce RTX 3090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proofErr w:type="spellEnd"/>
          </w:p>
          <w:p w14:paraId="44677986" w14:textId="77777777" w:rsidR="00A30D91" w:rsidRDefault="001E7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Phantom</w:t>
            </w:r>
          </w:p>
        </w:tc>
      </w:tr>
      <w:tr w:rsidR="00A30D91" w14:paraId="1F88A640" w14:textId="77777777">
        <w:trPr>
          <w:trHeight w:val="318"/>
        </w:trPr>
        <w:tc>
          <w:tcPr>
            <w:tcW w:w="2686" w:type="dxa"/>
          </w:tcPr>
          <w:p w14:paraId="3BD2C1E9" w14:textId="678A4811" w:rsidR="00A30D91" w:rsidRDefault="00E61A5D" w:rsidP="00E61A5D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Pamięć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pojemność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typ</w:t>
            </w:r>
            <w:proofErr w:type="spellEnd"/>
          </w:p>
        </w:tc>
        <w:tc>
          <w:tcPr>
            <w:tcW w:w="8037" w:type="dxa"/>
            <w:gridSpan w:val="2"/>
            <w:tcBorders>
              <w:right w:val="single" w:sz="6" w:space="0" w:color="000000"/>
            </w:tcBorders>
          </w:tcPr>
          <w:p w14:paraId="1F65CD7B" w14:textId="77777777" w:rsidR="00A30D91" w:rsidRDefault="001E7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 GB GDDR6X</w:t>
            </w:r>
          </w:p>
        </w:tc>
      </w:tr>
      <w:tr w:rsidR="00A30D91" w14:paraId="7BE4FCC7" w14:textId="77777777">
        <w:trPr>
          <w:trHeight w:val="318"/>
        </w:trPr>
        <w:tc>
          <w:tcPr>
            <w:tcW w:w="2686" w:type="dxa"/>
          </w:tcPr>
          <w:p w14:paraId="585EB26D" w14:textId="7A46E0C3" w:rsidR="00A30D91" w:rsidRDefault="00E61A5D" w:rsidP="00E61A5D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Zegar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w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trybie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1E78D2">
              <w:rPr>
                <w:rFonts w:ascii="Calibri" w:eastAsia="Calibri" w:hAnsi="Calibri" w:cs="Calibri"/>
                <w:sz w:val="22"/>
                <w:szCs w:val="22"/>
              </w:rPr>
              <w:t>Boos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</w:p>
        </w:tc>
        <w:tc>
          <w:tcPr>
            <w:tcW w:w="3827" w:type="dxa"/>
            <w:tcBorders>
              <w:right w:val="single" w:sz="6" w:space="0" w:color="000000"/>
            </w:tcBorders>
          </w:tcPr>
          <w:p w14:paraId="43EFDCE2" w14:textId="77777777" w:rsidR="00A30D91" w:rsidRDefault="001E7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1890 MHz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63F9A969" w14:textId="77777777" w:rsidR="00A30D91" w:rsidRDefault="001E7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1860 MHz</w:t>
            </w:r>
          </w:p>
        </w:tc>
      </w:tr>
      <w:tr w:rsidR="00A30D91" w14:paraId="229C4722" w14:textId="77777777">
        <w:trPr>
          <w:trHeight w:val="318"/>
        </w:trPr>
        <w:tc>
          <w:tcPr>
            <w:tcW w:w="2686" w:type="dxa"/>
          </w:tcPr>
          <w:p w14:paraId="1AC2641E" w14:textId="0749A7BE" w:rsidR="00A30D91" w:rsidRDefault="00E61A5D" w:rsidP="00E61A5D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Wyjścia</w:t>
            </w:r>
            <w:proofErr w:type="spellEnd"/>
          </w:p>
        </w:tc>
        <w:tc>
          <w:tcPr>
            <w:tcW w:w="8037" w:type="dxa"/>
            <w:gridSpan w:val="2"/>
            <w:tcBorders>
              <w:right w:val="single" w:sz="6" w:space="0" w:color="000000"/>
            </w:tcBorders>
            <w:vAlign w:val="center"/>
          </w:tcPr>
          <w:p w14:paraId="2E879643" w14:textId="5F933F23" w:rsidR="00A30D91" w:rsidRDefault="001E7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  <w:r w:rsidR="00021A7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DisplayPort (1.4a), </w:t>
            </w:r>
            <w:r w:rsidR="00AF793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1x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HDMI (2.1)</w:t>
            </w:r>
          </w:p>
        </w:tc>
      </w:tr>
      <w:tr w:rsidR="00A30D91" w14:paraId="1D3BFD4D" w14:textId="77777777">
        <w:trPr>
          <w:trHeight w:val="318"/>
        </w:trPr>
        <w:tc>
          <w:tcPr>
            <w:tcW w:w="2686" w:type="dxa"/>
          </w:tcPr>
          <w:p w14:paraId="60619F11" w14:textId="1166DCAF" w:rsidR="00A30D91" w:rsidRDefault="00E61A5D" w:rsidP="00E61A5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Złącze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zasilania</w:t>
            </w:r>
            <w:proofErr w:type="spellEnd"/>
          </w:p>
        </w:tc>
        <w:tc>
          <w:tcPr>
            <w:tcW w:w="8037" w:type="dxa"/>
            <w:gridSpan w:val="2"/>
            <w:tcBorders>
              <w:right w:val="single" w:sz="6" w:space="0" w:color="000000"/>
            </w:tcBorders>
            <w:vAlign w:val="center"/>
          </w:tcPr>
          <w:p w14:paraId="1C204677" w14:textId="77777777" w:rsidR="00A30D91" w:rsidRDefault="001E7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 pin</w:t>
            </w:r>
          </w:p>
        </w:tc>
      </w:tr>
    </w:tbl>
    <w:p w14:paraId="3DCBD9D4" w14:textId="2DEC8982" w:rsidR="00E61A5D" w:rsidRPr="00AC3509" w:rsidRDefault="001E78D2" w:rsidP="00E61A5D">
      <w:pPr>
        <w:ind w:hanging="2"/>
        <w:rPr>
          <w:rFonts w:ascii="Calibri" w:hAnsi="Calibri"/>
          <w:sz w:val="22"/>
          <w:szCs w:val="22"/>
          <w:lang w:val="pl-PL"/>
        </w:rPr>
      </w:pPr>
      <w:r w:rsidRPr="00E61A5D">
        <w:rPr>
          <w:rFonts w:ascii="Calibri" w:eastAsia="Calibri" w:hAnsi="Calibri" w:cs="Calibri"/>
          <w:b/>
          <w:sz w:val="22"/>
          <w:szCs w:val="22"/>
          <w:lang w:val="pl-PL"/>
        </w:rPr>
        <w:br/>
      </w:r>
      <w:r w:rsidR="00E61A5D" w:rsidRPr="00AC3509">
        <w:rPr>
          <w:rFonts w:ascii="Calibri" w:hAnsi="Calibri" w:cs="Arial"/>
          <w:b/>
          <w:sz w:val="22"/>
          <w:lang w:val="pl-PL"/>
        </w:rPr>
        <w:t xml:space="preserve">O firmie </w:t>
      </w:r>
      <w:r w:rsidR="00E61A5D" w:rsidRPr="00AC3509">
        <w:rPr>
          <w:rFonts w:ascii="Calibri" w:hAnsi="Calibri" w:cs="Arial"/>
          <w:b/>
          <w:sz w:val="22"/>
          <w:lang w:val="pl-PL"/>
        </w:rPr>
        <w:br/>
      </w:r>
      <w:r w:rsidR="00E61A5D" w:rsidRPr="00AC3509">
        <w:rPr>
          <w:rFonts w:ascii="Calibri" w:hAnsi="Calibri"/>
          <w:sz w:val="22"/>
          <w:szCs w:val="22"/>
          <w:lang w:val="pl-PL"/>
        </w:rPr>
        <w:t xml:space="preserve">Firma </w:t>
      </w:r>
      <w:proofErr w:type="spellStart"/>
      <w:r w:rsidR="00E61A5D" w:rsidRPr="00AC3509">
        <w:rPr>
          <w:rFonts w:ascii="Calibri" w:hAnsi="Calibri"/>
          <w:sz w:val="22"/>
          <w:szCs w:val="22"/>
          <w:lang w:val="pl-PL"/>
        </w:rPr>
        <w:t>Gainward</w:t>
      </w:r>
      <w:proofErr w:type="spellEnd"/>
      <w:r w:rsidR="00E61A5D" w:rsidRPr="00AC3509">
        <w:rPr>
          <w:rFonts w:ascii="Calibri" w:hAnsi="Calibri"/>
          <w:sz w:val="22"/>
          <w:szCs w:val="22"/>
          <w:lang w:val="pl-PL"/>
        </w:rPr>
        <w:t xml:space="preserve"> została założona w 1984. Misją </w:t>
      </w:r>
      <w:proofErr w:type="spellStart"/>
      <w:r w:rsidR="00E61A5D" w:rsidRPr="00AC3509">
        <w:rPr>
          <w:rFonts w:ascii="Calibri" w:hAnsi="Calibri"/>
          <w:sz w:val="22"/>
          <w:szCs w:val="22"/>
          <w:lang w:val="pl-PL"/>
        </w:rPr>
        <w:t>Gainwarda</w:t>
      </w:r>
      <w:proofErr w:type="spellEnd"/>
      <w:r w:rsidR="00E61A5D" w:rsidRPr="00AC3509">
        <w:rPr>
          <w:rFonts w:ascii="Calibri" w:hAnsi="Calibri"/>
          <w:sz w:val="22"/>
          <w:szCs w:val="22"/>
          <w:lang w:val="pl-PL"/>
        </w:rPr>
        <w:t xml:space="preserve"> jest produkowanie najbardziej zaawansowanych technicznie kart graficzne i najwyższy poziom zadowolenia klientów. Wysokiej klasy produkty </w:t>
      </w:r>
      <w:proofErr w:type="spellStart"/>
      <w:r w:rsidR="00E61A5D" w:rsidRPr="00AC3509">
        <w:rPr>
          <w:rFonts w:ascii="Calibri" w:hAnsi="Calibri"/>
          <w:sz w:val="22"/>
          <w:szCs w:val="22"/>
          <w:lang w:val="pl-PL"/>
        </w:rPr>
        <w:t>Gainwarda</w:t>
      </w:r>
      <w:proofErr w:type="spellEnd"/>
      <w:r w:rsidR="00E61A5D" w:rsidRPr="00AC3509">
        <w:rPr>
          <w:rFonts w:ascii="Calibri" w:hAnsi="Calibri"/>
          <w:sz w:val="22"/>
          <w:szCs w:val="22"/>
          <w:lang w:val="pl-PL"/>
        </w:rPr>
        <w:t xml:space="preserve"> cieszą się doskonałą renomą wśród entuzjastów. Wprowadzone przez </w:t>
      </w:r>
      <w:proofErr w:type="spellStart"/>
      <w:r w:rsidR="00E61A5D" w:rsidRPr="00AC3509">
        <w:rPr>
          <w:rFonts w:ascii="Calibri" w:hAnsi="Calibri"/>
          <w:sz w:val="22"/>
          <w:szCs w:val="22"/>
          <w:lang w:val="pl-PL"/>
        </w:rPr>
        <w:t>Gainwarda</w:t>
      </w:r>
      <w:proofErr w:type="spellEnd"/>
      <w:r w:rsidR="00E61A5D" w:rsidRPr="00AC3509">
        <w:rPr>
          <w:rFonts w:ascii="Calibri" w:hAnsi="Calibri"/>
          <w:sz w:val="22"/>
          <w:szCs w:val="22"/>
          <w:lang w:val="pl-PL"/>
        </w:rPr>
        <w:t xml:space="preserve"> określenia </w:t>
      </w:r>
      <w:r w:rsidR="00AF7930">
        <w:rPr>
          <w:rFonts w:ascii="Calibri" w:hAnsi="Calibri"/>
          <w:sz w:val="22"/>
          <w:szCs w:val="22"/>
          <w:lang w:val="pl-PL"/>
        </w:rPr>
        <w:t>„</w:t>
      </w:r>
      <w:proofErr w:type="spellStart"/>
      <w:r w:rsidR="00E61A5D" w:rsidRPr="00AC3509">
        <w:rPr>
          <w:rFonts w:ascii="Calibri" w:hAnsi="Calibri"/>
          <w:sz w:val="22"/>
          <w:szCs w:val="22"/>
          <w:lang w:val="pl-PL"/>
        </w:rPr>
        <w:t>Golden</w:t>
      </w:r>
      <w:proofErr w:type="spellEnd"/>
      <w:r w:rsidR="00E61A5D" w:rsidRPr="00AC3509">
        <w:rPr>
          <w:rFonts w:ascii="Calibri" w:hAnsi="Calibri"/>
          <w:sz w:val="22"/>
          <w:szCs w:val="22"/>
          <w:lang w:val="pl-PL"/>
        </w:rPr>
        <w:t xml:space="preserve"> </w:t>
      </w:r>
      <w:proofErr w:type="spellStart"/>
      <w:r w:rsidR="00E61A5D" w:rsidRPr="00AC3509">
        <w:rPr>
          <w:rFonts w:ascii="Calibri" w:hAnsi="Calibri"/>
          <w:sz w:val="22"/>
          <w:szCs w:val="22"/>
          <w:lang w:val="pl-PL"/>
        </w:rPr>
        <w:t>Sample</w:t>
      </w:r>
      <w:proofErr w:type="spellEnd"/>
      <w:r w:rsidR="00AF7930">
        <w:rPr>
          <w:rFonts w:ascii="Calibri" w:hAnsi="Calibri"/>
          <w:sz w:val="22"/>
          <w:szCs w:val="22"/>
          <w:lang w:val="pl-PL"/>
        </w:rPr>
        <w:t>”</w:t>
      </w:r>
      <w:r w:rsidR="00E61A5D" w:rsidRPr="00AC3509">
        <w:rPr>
          <w:rFonts w:ascii="Calibri" w:hAnsi="Calibri"/>
          <w:sz w:val="22"/>
          <w:szCs w:val="22"/>
          <w:lang w:val="pl-PL"/>
        </w:rPr>
        <w:t xml:space="preserve"> (GS) i </w:t>
      </w:r>
      <w:r w:rsidR="00AF7930">
        <w:rPr>
          <w:rFonts w:ascii="Calibri" w:hAnsi="Calibri"/>
          <w:sz w:val="22"/>
          <w:szCs w:val="22"/>
          <w:lang w:val="pl-PL"/>
        </w:rPr>
        <w:t>„</w:t>
      </w:r>
      <w:proofErr w:type="spellStart"/>
      <w:r w:rsidR="00E61A5D" w:rsidRPr="00AC3509">
        <w:rPr>
          <w:rFonts w:ascii="Calibri" w:hAnsi="Calibri"/>
          <w:sz w:val="22"/>
          <w:szCs w:val="22"/>
          <w:lang w:val="pl-PL"/>
        </w:rPr>
        <w:t>Golden</w:t>
      </w:r>
      <w:proofErr w:type="spellEnd"/>
      <w:r w:rsidR="00E61A5D" w:rsidRPr="00AC3509">
        <w:rPr>
          <w:rFonts w:ascii="Calibri" w:hAnsi="Calibri"/>
          <w:sz w:val="22"/>
          <w:szCs w:val="22"/>
          <w:lang w:val="pl-PL"/>
        </w:rPr>
        <w:t xml:space="preserve"> </w:t>
      </w:r>
      <w:proofErr w:type="spellStart"/>
      <w:r w:rsidR="00E61A5D" w:rsidRPr="00AC3509">
        <w:rPr>
          <w:rFonts w:ascii="Calibri" w:hAnsi="Calibri"/>
          <w:sz w:val="22"/>
          <w:szCs w:val="22"/>
          <w:lang w:val="pl-PL"/>
        </w:rPr>
        <w:t>Sample</w:t>
      </w:r>
      <w:proofErr w:type="spellEnd"/>
      <w:r w:rsidR="00E61A5D" w:rsidRPr="00AC3509">
        <w:rPr>
          <w:rFonts w:ascii="Calibri" w:hAnsi="Calibri"/>
          <w:sz w:val="22"/>
          <w:szCs w:val="22"/>
          <w:lang w:val="pl-PL"/>
        </w:rPr>
        <w:t xml:space="preserve"> - Goes </w:t>
      </w:r>
      <w:proofErr w:type="spellStart"/>
      <w:r w:rsidR="00E61A5D" w:rsidRPr="00AC3509">
        <w:rPr>
          <w:rFonts w:ascii="Calibri" w:hAnsi="Calibri"/>
          <w:sz w:val="22"/>
          <w:szCs w:val="22"/>
          <w:lang w:val="pl-PL"/>
        </w:rPr>
        <w:t>Like</w:t>
      </w:r>
      <w:proofErr w:type="spellEnd"/>
      <w:r w:rsidR="00E61A5D" w:rsidRPr="00AC3509">
        <w:rPr>
          <w:rFonts w:ascii="Calibri" w:hAnsi="Calibri"/>
          <w:sz w:val="22"/>
          <w:szCs w:val="22"/>
          <w:lang w:val="pl-PL"/>
        </w:rPr>
        <w:t xml:space="preserve"> </w:t>
      </w:r>
      <w:proofErr w:type="spellStart"/>
      <w:r w:rsidR="00E61A5D" w:rsidRPr="00AC3509">
        <w:rPr>
          <w:rFonts w:ascii="Calibri" w:hAnsi="Calibri"/>
          <w:sz w:val="22"/>
          <w:szCs w:val="22"/>
          <w:lang w:val="pl-PL"/>
        </w:rPr>
        <w:t>Hell</w:t>
      </w:r>
      <w:proofErr w:type="spellEnd"/>
      <w:r w:rsidR="00AF7930">
        <w:rPr>
          <w:rFonts w:ascii="Calibri" w:hAnsi="Calibri"/>
          <w:sz w:val="22"/>
          <w:szCs w:val="22"/>
          <w:lang w:val="pl-PL"/>
        </w:rPr>
        <w:t>”</w:t>
      </w:r>
      <w:r w:rsidR="00E61A5D" w:rsidRPr="00AC3509">
        <w:rPr>
          <w:rFonts w:ascii="Calibri" w:hAnsi="Calibri"/>
          <w:sz w:val="22"/>
          <w:szCs w:val="22"/>
          <w:lang w:val="pl-PL"/>
        </w:rPr>
        <w:t xml:space="preserve"> (GS-GLH) stały się synonimami, którymi określa się mocno </w:t>
      </w:r>
      <w:r w:rsidR="00AF7930">
        <w:rPr>
          <w:rFonts w:ascii="Calibri" w:hAnsi="Calibri"/>
          <w:sz w:val="22"/>
          <w:szCs w:val="22"/>
          <w:lang w:val="pl-PL"/>
        </w:rPr>
        <w:t>i</w:t>
      </w:r>
      <w:r w:rsidR="00E61A5D" w:rsidRPr="00AC3509">
        <w:rPr>
          <w:rFonts w:ascii="Calibri" w:hAnsi="Calibri"/>
          <w:sz w:val="22"/>
          <w:szCs w:val="22"/>
          <w:lang w:val="pl-PL"/>
        </w:rPr>
        <w:t xml:space="preserve"> ekstremalnie podkręcone karty graficzne. Jako jedna z wiodących marek kart graficznych </w:t>
      </w:r>
      <w:proofErr w:type="spellStart"/>
      <w:r w:rsidR="00E61A5D" w:rsidRPr="00AC3509">
        <w:rPr>
          <w:rFonts w:ascii="Calibri" w:hAnsi="Calibri"/>
          <w:sz w:val="22"/>
          <w:szCs w:val="22"/>
          <w:lang w:val="pl-PL"/>
        </w:rPr>
        <w:t>Gainward</w:t>
      </w:r>
      <w:proofErr w:type="spellEnd"/>
      <w:r w:rsidR="00E61A5D" w:rsidRPr="00AC3509">
        <w:rPr>
          <w:rFonts w:ascii="Calibri" w:hAnsi="Calibri"/>
          <w:sz w:val="22"/>
          <w:szCs w:val="22"/>
          <w:lang w:val="pl-PL"/>
        </w:rPr>
        <w:t xml:space="preserve"> stale dostarcza najwydajniejsze produkty o doskonałej jakości starając się w ten potwierdzić zaufanie i szacunek klientów jakim obdarzają ją klienci. Główna siedziba firmy znajduje się w </w:t>
      </w:r>
      <w:proofErr w:type="spellStart"/>
      <w:r w:rsidR="00E61A5D" w:rsidRPr="00AC3509">
        <w:rPr>
          <w:rFonts w:ascii="Calibri" w:hAnsi="Calibri"/>
          <w:sz w:val="22"/>
          <w:szCs w:val="22"/>
          <w:lang w:val="pl-PL"/>
        </w:rPr>
        <w:t>Ta</w:t>
      </w:r>
      <w:r w:rsidR="00AF7930">
        <w:rPr>
          <w:rFonts w:ascii="Calibri" w:hAnsi="Calibri"/>
          <w:sz w:val="22"/>
          <w:szCs w:val="22"/>
          <w:lang w:val="pl-PL"/>
        </w:rPr>
        <w:t>j</w:t>
      </w:r>
      <w:r w:rsidR="00E61A5D" w:rsidRPr="00AC3509">
        <w:rPr>
          <w:rFonts w:ascii="Calibri" w:hAnsi="Calibri"/>
          <w:sz w:val="22"/>
          <w:szCs w:val="22"/>
          <w:lang w:val="pl-PL"/>
        </w:rPr>
        <w:t>pei</w:t>
      </w:r>
      <w:proofErr w:type="spellEnd"/>
      <w:r w:rsidR="00E61A5D" w:rsidRPr="00AC3509">
        <w:rPr>
          <w:rFonts w:ascii="Calibri" w:hAnsi="Calibri"/>
          <w:sz w:val="22"/>
          <w:szCs w:val="22"/>
          <w:lang w:val="pl-PL"/>
        </w:rPr>
        <w:t xml:space="preserve"> na Ta</w:t>
      </w:r>
      <w:r w:rsidR="00AF7930">
        <w:rPr>
          <w:rFonts w:ascii="Calibri" w:hAnsi="Calibri"/>
          <w:sz w:val="22"/>
          <w:szCs w:val="22"/>
          <w:lang w:val="pl-PL"/>
        </w:rPr>
        <w:t>j</w:t>
      </w:r>
      <w:r w:rsidR="00E61A5D" w:rsidRPr="00AC3509">
        <w:rPr>
          <w:rFonts w:ascii="Calibri" w:hAnsi="Calibri"/>
          <w:sz w:val="22"/>
          <w:szCs w:val="22"/>
          <w:lang w:val="pl-PL"/>
        </w:rPr>
        <w:t xml:space="preserve">wanie, fabryki w </w:t>
      </w:r>
      <w:proofErr w:type="spellStart"/>
      <w:r w:rsidR="00E61A5D" w:rsidRPr="00AC3509">
        <w:rPr>
          <w:rFonts w:ascii="Calibri" w:hAnsi="Calibri"/>
          <w:sz w:val="22"/>
          <w:szCs w:val="22"/>
          <w:lang w:val="pl-PL"/>
        </w:rPr>
        <w:t>Shenzhen</w:t>
      </w:r>
      <w:proofErr w:type="spellEnd"/>
      <w:r w:rsidR="00E61A5D" w:rsidRPr="00AC3509">
        <w:rPr>
          <w:rFonts w:ascii="Calibri" w:hAnsi="Calibri"/>
          <w:sz w:val="22"/>
          <w:szCs w:val="22"/>
          <w:lang w:val="pl-PL"/>
        </w:rPr>
        <w:t xml:space="preserve"> w Chinach, a oddział europejski ma siedzibę w Niemczech. Ambicją firmy jest dostarczanie swoich produktów na cały świat przy jednoczesnej ścisłej kooperacji z </w:t>
      </w:r>
      <w:r w:rsidR="00E61A5D" w:rsidRPr="00AC3509">
        <w:rPr>
          <w:rFonts w:ascii="Calibri" w:hAnsi="Calibri"/>
          <w:sz w:val="22"/>
          <w:szCs w:val="22"/>
          <w:lang w:val="pl-PL"/>
        </w:rPr>
        <w:lastRenderedPageBreak/>
        <w:t>lokalnymi partnerami.</w:t>
      </w:r>
    </w:p>
    <w:p w14:paraId="50706B89" w14:textId="77777777" w:rsidR="00E61A5D" w:rsidRPr="00AC3509" w:rsidRDefault="00E61A5D" w:rsidP="00E61A5D">
      <w:pPr>
        <w:ind w:hanging="2"/>
        <w:rPr>
          <w:rFonts w:ascii="Calibri" w:hAnsi="Calibri"/>
          <w:sz w:val="22"/>
          <w:szCs w:val="22"/>
          <w:lang w:val="pl-PL"/>
        </w:rPr>
      </w:pPr>
    </w:p>
    <w:p w14:paraId="114C485E" w14:textId="6A8548F5" w:rsidR="00A30D91" w:rsidRPr="00E61A5D" w:rsidRDefault="00E61A5D" w:rsidP="00E61A5D">
      <w:pPr>
        <w:ind w:hanging="2"/>
        <w:rPr>
          <w:rFonts w:ascii="Arial" w:eastAsia="Arial" w:hAnsi="Arial" w:cs="Arial"/>
          <w:sz w:val="22"/>
          <w:szCs w:val="22"/>
          <w:lang w:val="pl-PL"/>
        </w:rPr>
      </w:pPr>
      <w:r w:rsidRPr="00AC3509">
        <w:rPr>
          <w:rFonts w:ascii="Calibri" w:hAnsi="Calibri"/>
          <w:sz w:val="22"/>
          <w:szCs w:val="22"/>
          <w:lang w:val="pl-PL"/>
        </w:rPr>
        <w:t xml:space="preserve">Więcej informacji można znaleźć pod adresem </w:t>
      </w:r>
      <w:hyperlink r:id="rId11" w:history="1">
        <w:r w:rsidRPr="00AC3509">
          <w:rPr>
            <w:rStyle w:val="Hipercze"/>
            <w:rFonts w:ascii="Arial" w:hAnsi="Arial" w:cs="Arial"/>
            <w:sz w:val="22"/>
            <w:szCs w:val="22"/>
            <w:lang w:val="pl-PL"/>
          </w:rPr>
          <w:t>http://www.gainward.com</w:t>
        </w:r>
      </w:hyperlink>
    </w:p>
    <w:sectPr w:rsidR="00A30D91" w:rsidRPr="00E61A5D">
      <w:pgSz w:w="11906" w:h="16838"/>
      <w:pgMar w:top="540" w:right="720" w:bottom="45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Regular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D91"/>
    <w:rsid w:val="00021A7D"/>
    <w:rsid w:val="0015519B"/>
    <w:rsid w:val="001E78D2"/>
    <w:rsid w:val="0028361A"/>
    <w:rsid w:val="00320E44"/>
    <w:rsid w:val="003E6DA4"/>
    <w:rsid w:val="00487F97"/>
    <w:rsid w:val="006F549D"/>
    <w:rsid w:val="007D4A2B"/>
    <w:rsid w:val="008E476B"/>
    <w:rsid w:val="008F6469"/>
    <w:rsid w:val="00A30D91"/>
    <w:rsid w:val="00A94044"/>
    <w:rsid w:val="00AF7930"/>
    <w:rsid w:val="00CA1E92"/>
    <w:rsid w:val="00D21585"/>
    <w:rsid w:val="00E16034"/>
    <w:rsid w:val="00E61A5D"/>
    <w:rsid w:val="00F3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E1F3C"/>
  <w15:docId w15:val="{6B20E2AA-89F1-4B0F-8829-12B993801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B79F1"/>
    <w:rPr>
      <w:kern w:val="2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rsid w:val="00517607"/>
    <w:rPr>
      <w:color w:val="0000FF"/>
      <w:u w:val="single"/>
    </w:rPr>
  </w:style>
  <w:style w:type="table" w:styleId="Tabela-Siatka">
    <w:name w:val="Table Grid"/>
    <w:basedOn w:val="Standardowy"/>
    <w:rsid w:val="00E12E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rsid w:val="00133076"/>
    <w:rPr>
      <w:color w:val="800080"/>
      <w:u w:val="single"/>
    </w:rPr>
  </w:style>
  <w:style w:type="paragraph" w:customStyle="1" w:styleId="ListParagraph1">
    <w:name w:val="List Paragraph1"/>
    <w:basedOn w:val="Normalny"/>
    <w:qFormat/>
    <w:rsid w:val="00E416F5"/>
    <w:pPr>
      <w:widowControl/>
      <w:ind w:left="720"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6C62FE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NagwekZnak">
    <w:name w:val="Nagłówek Znak"/>
    <w:link w:val="Nagwek"/>
    <w:uiPriority w:val="99"/>
    <w:rsid w:val="006C62FE"/>
    <w:rPr>
      <w:kern w:val="2"/>
    </w:rPr>
  </w:style>
  <w:style w:type="paragraph" w:styleId="Stopka">
    <w:name w:val="footer"/>
    <w:basedOn w:val="Normalny"/>
    <w:link w:val="StopkaZnak"/>
    <w:uiPriority w:val="99"/>
    <w:unhideWhenUsed/>
    <w:rsid w:val="006C62FE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StopkaZnak">
    <w:name w:val="Stopka Znak"/>
    <w:link w:val="Stopka"/>
    <w:uiPriority w:val="99"/>
    <w:rsid w:val="006C62FE"/>
    <w:rPr>
      <w:kern w:val="2"/>
    </w:rPr>
  </w:style>
  <w:style w:type="paragraph" w:styleId="Akapitzlist">
    <w:name w:val="List Paragraph"/>
    <w:basedOn w:val="Normalny"/>
    <w:uiPriority w:val="34"/>
    <w:qFormat/>
    <w:rsid w:val="00932C18"/>
    <w:pPr>
      <w:widowControl/>
      <w:spacing w:before="80" w:after="120" w:line="264" w:lineRule="auto"/>
      <w:ind w:left="720"/>
    </w:pPr>
    <w:rPr>
      <w:rFonts w:ascii="Calibri" w:eastAsia="MS Mincho" w:hAnsi="Calibri"/>
      <w:kern w:val="0"/>
      <w:lang w:eastAsia="ja-JP"/>
    </w:rPr>
  </w:style>
  <w:style w:type="character" w:customStyle="1" w:styleId="A9">
    <w:name w:val="A9"/>
    <w:uiPriority w:val="99"/>
    <w:rsid w:val="005A3C42"/>
    <w:rPr>
      <w:rFonts w:ascii="DINPro-Regular" w:hAnsi="DINPro-Regular" w:hint="default"/>
      <w:color w:val="000000"/>
      <w:sz w:val="6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5A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155A0D"/>
    <w:rPr>
      <w:rFonts w:ascii="Segoe UI" w:hAnsi="Segoe UI" w:cs="Segoe UI"/>
      <w:kern w:val="2"/>
      <w:sz w:val="18"/>
      <w:szCs w:val="18"/>
    </w:rPr>
  </w:style>
  <w:style w:type="character" w:styleId="Pogrubienie">
    <w:name w:val="Strong"/>
    <w:uiPriority w:val="22"/>
    <w:qFormat/>
    <w:rsid w:val="00D70011"/>
    <w:rPr>
      <w:b/>
      <w:b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gainward.com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wkUgrbmI8i7NLr6bvsVOTJVKKg==">AMUW2mW3fL/MWO+Y8+B7xD+gBtds4t57pcE9YC7OSVd4SgVgbobrxaMrf4vLBFsm2X/QWxkMFBqIt84GuT54JPp1HS5vbfaSWATce+fyAQF5IwT2CHqLtJE=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413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anna-nb</dc:creator>
  <cp:lastModifiedBy>Ewa Rudkowska</cp:lastModifiedBy>
  <cp:revision>2</cp:revision>
  <dcterms:created xsi:type="dcterms:W3CDTF">2022-03-29T09:53:00Z</dcterms:created>
  <dcterms:modified xsi:type="dcterms:W3CDTF">2022-03-29T09:53:00Z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558183-044c-4105-8d9c-cea02a2a3d86_Enabled">
    <vt:lpwstr>True</vt:lpwstr>
  </property>
  <property fmtid="{D5CDD505-2E9C-101B-9397-08002B2CF9AE}" pid="3" name="MSIP_Label_6b558183-044c-4105-8d9c-cea02a2a3d86_SiteId">
    <vt:lpwstr>43083d15-7273-40c1-b7db-39efd9ccc17a</vt:lpwstr>
  </property>
  <property fmtid="{D5CDD505-2E9C-101B-9397-08002B2CF9AE}" pid="4" name="MSIP_Label_6b558183-044c-4105-8d9c-cea02a2a3d86_Owner">
    <vt:lpwstr>kmusgrave@nvidia.com</vt:lpwstr>
  </property>
  <property fmtid="{D5CDD505-2E9C-101B-9397-08002B2CF9AE}" pid="5" name="MSIP_Label_6b558183-044c-4105-8d9c-cea02a2a3d86_SetDate">
    <vt:lpwstr>2020-08-28T03:44:20.7555947Z</vt:lpwstr>
  </property>
  <property fmtid="{D5CDD505-2E9C-101B-9397-08002B2CF9AE}" pid="6" name="MSIP_Label_6b558183-044c-4105-8d9c-cea02a2a3d86_Name">
    <vt:lpwstr>Unrestricted</vt:lpwstr>
  </property>
  <property fmtid="{D5CDD505-2E9C-101B-9397-08002B2CF9AE}" pid="7" name="MSIP_Label_6b558183-044c-4105-8d9c-cea02a2a3d86_Application">
    <vt:lpwstr>Microsoft Azure Information Protection</vt:lpwstr>
  </property>
  <property fmtid="{D5CDD505-2E9C-101B-9397-08002B2CF9AE}" pid="8" name="MSIP_Label_6b558183-044c-4105-8d9c-cea02a2a3d86_Extended_MSFT_Method">
    <vt:lpwstr>Automatic</vt:lpwstr>
  </property>
  <property fmtid="{D5CDD505-2E9C-101B-9397-08002B2CF9AE}" pid="9" name="Sensitivity">
    <vt:lpwstr>Unrestricted</vt:lpwstr>
  </property>
</Properties>
</file>